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64FE" w14:textId="77777777" w:rsidR="00822AAF" w:rsidRPr="00822AAF" w:rsidRDefault="00822AAF" w:rsidP="00C467F4">
      <w:pPr>
        <w:pStyle w:val="Default"/>
        <w:spacing w:afterLines="20" w:after="48"/>
        <w:jc w:val="both"/>
        <w:rPr>
          <w:rFonts w:ascii="Calibri" w:hAnsi="Calibri" w:cs="Calibri"/>
          <w:sz w:val="22"/>
          <w:szCs w:val="22"/>
        </w:rPr>
      </w:pPr>
    </w:p>
    <w:p w14:paraId="4244C0A8" w14:textId="3DB2A19B" w:rsidR="00C467F4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 xml:space="preserve">Une procédure d'assurance qualité est rédigée par le </w:t>
      </w:r>
      <w:r w:rsidR="004139D7">
        <w:rPr>
          <w:rFonts w:ascii="Calibri" w:hAnsi="Calibri" w:cs="Calibri"/>
          <w:color w:val="000000"/>
        </w:rPr>
        <w:t>pharmacien d’officine réalisant des</w:t>
      </w:r>
      <w:r w:rsidR="00EF4916" w:rsidRPr="00D2170A">
        <w:rPr>
          <w:rFonts w:ascii="Calibri" w:hAnsi="Calibri" w:cs="Calibri"/>
          <w:color w:val="000000"/>
        </w:rPr>
        <w:t xml:space="preserve"> test</w:t>
      </w:r>
      <w:r w:rsidR="00EF4916">
        <w:rPr>
          <w:rFonts w:ascii="Calibri" w:hAnsi="Calibri" w:cs="Calibri"/>
          <w:color w:val="000000"/>
        </w:rPr>
        <w:t>s</w:t>
      </w:r>
      <w:r w:rsidR="00EF4916" w:rsidRPr="00D2170A">
        <w:rPr>
          <w:rFonts w:ascii="Calibri" w:hAnsi="Calibri" w:cs="Calibri"/>
          <w:color w:val="000000"/>
        </w:rPr>
        <w:t xml:space="preserve"> d'orientation diagnostique de recherche a minima de </w:t>
      </w:r>
      <w:proofErr w:type="spellStart"/>
      <w:r w:rsidR="00EF4916" w:rsidRPr="00D2170A">
        <w:rPr>
          <w:rFonts w:ascii="Calibri" w:hAnsi="Calibri" w:cs="Calibri"/>
          <w:color w:val="000000"/>
        </w:rPr>
        <w:t>nitriturie</w:t>
      </w:r>
      <w:proofErr w:type="spellEnd"/>
      <w:r w:rsidR="00EF4916" w:rsidRPr="00D2170A">
        <w:rPr>
          <w:rFonts w:ascii="Calibri" w:hAnsi="Calibri" w:cs="Calibri"/>
          <w:color w:val="000000"/>
        </w:rPr>
        <w:t xml:space="preserve"> et leuco</w:t>
      </w:r>
      <w:r w:rsidR="000455F9">
        <w:rPr>
          <w:rFonts w:ascii="Calibri" w:hAnsi="Calibri" w:cs="Calibri"/>
          <w:color w:val="000000"/>
        </w:rPr>
        <w:t>c</w:t>
      </w:r>
      <w:r w:rsidR="00EF4916" w:rsidRPr="00D2170A">
        <w:rPr>
          <w:rFonts w:ascii="Calibri" w:hAnsi="Calibri" w:cs="Calibri"/>
          <w:color w:val="000000"/>
        </w:rPr>
        <w:t>yturie (TROD cystite)</w:t>
      </w:r>
      <w:r w:rsidRPr="004D3D71">
        <w:rPr>
          <w:rFonts w:ascii="Calibri" w:hAnsi="Calibri" w:cs="Calibri"/>
          <w:color w:val="000000"/>
        </w:rPr>
        <w:t>.</w:t>
      </w:r>
    </w:p>
    <w:p w14:paraId="4F015755" w14:textId="14209D71" w:rsidR="004139D7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 xml:space="preserve"> </w:t>
      </w:r>
    </w:p>
    <w:p w14:paraId="7C5F4FC6" w14:textId="3C70D0A6" w:rsid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 xml:space="preserve">Cette procédure comporte deux parties : </w:t>
      </w:r>
    </w:p>
    <w:p w14:paraId="26AB8A0A" w14:textId="77777777" w:rsidR="00C467F4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126A93CD" w14:textId="3A697AF3" w:rsidR="004139D7" w:rsidRDefault="004D3D71" w:rsidP="00C467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proofErr w:type="gramStart"/>
      <w:r w:rsidRPr="004D3D71">
        <w:rPr>
          <w:rFonts w:ascii="Calibri" w:hAnsi="Calibri" w:cs="Calibri"/>
          <w:color w:val="000000"/>
        </w:rPr>
        <w:t>une</w:t>
      </w:r>
      <w:proofErr w:type="gramEnd"/>
      <w:r w:rsidRPr="004D3D71">
        <w:rPr>
          <w:rFonts w:ascii="Calibri" w:hAnsi="Calibri" w:cs="Calibri"/>
          <w:color w:val="000000"/>
        </w:rPr>
        <w:t xml:space="preserve"> fiche à remplir une seule fois </w:t>
      </w:r>
      <w:r w:rsidR="003A1540" w:rsidRPr="00EF4916">
        <w:rPr>
          <w:rFonts w:ascii="Calibri" w:hAnsi="Calibri" w:cs="Calibri"/>
          <w:b/>
          <w:bCs/>
          <w:color w:val="000000"/>
        </w:rPr>
        <w:t>(</w:t>
      </w:r>
      <w:r w:rsidR="00524FC2">
        <w:rPr>
          <w:rFonts w:ascii="Calibri" w:hAnsi="Calibri" w:cs="Calibri"/>
          <w:b/>
          <w:bCs/>
          <w:color w:val="000000"/>
        </w:rPr>
        <w:t>c</w:t>
      </w:r>
      <w:r w:rsidR="003A1540" w:rsidRPr="00EF4916">
        <w:rPr>
          <w:rFonts w:ascii="Calibri" w:hAnsi="Calibri" w:cs="Calibri"/>
          <w:b/>
          <w:bCs/>
          <w:color w:val="000000"/>
        </w:rPr>
        <w:t xml:space="preserve">f. </w:t>
      </w:r>
      <w:r w:rsidR="00524FC2">
        <w:rPr>
          <w:rFonts w:ascii="Calibri" w:hAnsi="Calibri" w:cs="Calibri"/>
          <w:b/>
          <w:bCs/>
          <w:color w:val="000000"/>
        </w:rPr>
        <w:t>f</w:t>
      </w:r>
      <w:r w:rsidR="003A1540" w:rsidRPr="00EF4916">
        <w:rPr>
          <w:rFonts w:ascii="Calibri" w:hAnsi="Calibri" w:cs="Calibri"/>
          <w:b/>
          <w:bCs/>
          <w:color w:val="000000"/>
        </w:rPr>
        <w:t xml:space="preserve">iche de </w:t>
      </w:r>
      <w:r w:rsidR="004139D7" w:rsidRPr="00EF4916">
        <w:rPr>
          <w:rFonts w:ascii="Calibri" w:hAnsi="Calibri" w:cs="Calibri"/>
          <w:b/>
          <w:bCs/>
          <w:color w:val="000000"/>
        </w:rPr>
        <w:t>traçabilité</w:t>
      </w:r>
      <w:r w:rsidR="00EF4916">
        <w:rPr>
          <w:rFonts w:ascii="Calibri" w:hAnsi="Calibri" w:cs="Calibri"/>
          <w:b/>
          <w:bCs/>
          <w:color w:val="000000"/>
        </w:rPr>
        <w:t xml:space="preserve"> jointe à la circulaire</w:t>
      </w:r>
      <w:r w:rsidR="003A1540" w:rsidRPr="00EF4916">
        <w:rPr>
          <w:rFonts w:ascii="Calibri" w:hAnsi="Calibri" w:cs="Calibri"/>
          <w:b/>
          <w:bCs/>
          <w:color w:val="000000"/>
        </w:rPr>
        <w:t>)</w:t>
      </w:r>
      <w:r w:rsidRPr="004D3D71">
        <w:rPr>
          <w:rFonts w:ascii="Calibri" w:hAnsi="Calibri" w:cs="Calibri"/>
          <w:color w:val="000000"/>
        </w:rPr>
        <w:t xml:space="preserve"> </w:t>
      </w:r>
    </w:p>
    <w:p w14:paraId="10A95896" w14:textId="5E416C85" w:rsidR="004D3D71" w:rsidRDefault="004D3D71" w:rsidP="00C467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proofErr w:type="gramStart"/>
      <w:r w:rsidRPr="004D3D71">
        <w:rPr>
          <w:rFonts w:ascii="Calibri" w:hAnsi="Calibri" w:cs="Calibri"/>
          <w:color w:val="000000"/>
        </w:rPr>
        <w:t>et</w:t>
      </w:r>
      <w:proofErr w:type="gramEnd"/>
      <w:r w:rsidRPr="004D3D71">
        <w:rPr>
          <w:rFonts w:ascii="Calibri" w:hAnsi="Calibri" w:cs="Calibri"/>
          <w:color w:val="000000"/>
        </w:rPr>
        <w:t xml:space="preserve"> les modalités de traçabilité de l'utilisation de chaque test pour chaque patient</w:t>
      </w:r>
      <w:r w:rsidR="00B84E6D">
        <w:rPr>
          <w:rFonts w:ascii="Calibri" w:hAnsi="Calibri" w:cs="Calibri"/>
          <w:color w:val="000000"/>
        </w:rPr>
        <w:t>e</w:t>
      </w:r>
      <w:r w:rsidRPr="004D3D71">
        <w:rPr>
          <w:rFonts w:ascii="Calibri" w:hAnsi="Calibri" w:cs="Calibri"/>
          <w:color w:val="000000"/>
        </w:rPr>
        <w:t xml:space="preserve"> </w:t>
      </w:r>
      <w:r w:rsidR="009B64BD">
        <w:rPr>
          <w:rFonts w:ascii="Calibri" w:hAnsi="Calibri" w:cs="Calibri"/>
          <w:color w:val="000000"/>
        </w:rPr>
        <w:t xml:space="preserve">                      </w:t>
      </w:r>
      <w:r w:rsidRPr="004D3D71">
        <w:rPr>
          <w:rFonts w:ascii="Calibri" w:hAnsi="Calibri" w:cs="Calibri"/>
          <w:color w:val="000000"/>
        </w:rPr>
        <w:t xml:space="preserve">qui nécessite d'inscrire ces éléments dans le dossier de chaque patient ou, si cela </w:t>
      </w:r>
      <w:r w:rsidR="009B64BD">
        <w:rPr>
          <w:rFonts w:ascii="Calibri" w:hAnsi="Calibri" w:cs="Calibri"/>
          <w:color w:val="000000"/>
        </w:rPr>
        <w:t xml:space="preserve">                     </w:t>
      </w:r>
      <w:r w:rsidRPr="004D3D71">
        <w:rPr>
          <w:rFonts w:ascii="Calibri" w:hAnsi="Calibri" w:cs="Calibri"/>
          <w:color w:val="000000"/>
        </w:rPr>
        <w:t>se justifie sur le plan thérapeutique, dans le cahier de liaison ou de suivi</w:t>
      </w:r>
      <w:r w:rsidR="00C235DD">
        <w:rPr>
          <w:rFonts w:ascii="Calibri" w:hAnsi="Calibri" w:cs="Calibri"/>
          <w:color w:val="000000"/>
        </w:rPr>
        <w:t xml:space="preserve"> de la</w:t>
      </w:r>
      <w:r w:rsidRPr="004D3D71">
        <w:rPr>
          <w:rFonts w:ascii="Calibri" w:hAnsi="Calibri" w:cs="Calibri"/>
          <w:color w:val="000000"/>
        </w:rPr>
        <w:t xml:space="preserve"> patient</w:t>
      </w:r>
      <w:r w:rsidR="00C235DD">
        <w:rPr>
          <w:rFonts w:ascii="Calibri" w:hAnsi="Calibri" w:cs="Calibri"/>
          <w:color w:val="000000"/>
        </w:rPr>
        <w:t>e</w:t>
      </w:r>
      <w:r w:rsidRPr="004D3D71">
        <w:rPr>
          <w:rFonts w:ascii="Calibri" w:hAnsi="Calibri" w:cs="Calibri"/>
          <w:color w:val="000000"/>
        </w:rPr>
        <w:t xml:space="preserve"> </w:t>
      </w:r>
      <w:r w:rsidR="009B64BD">
        <w:rPr>
          <w:rFonts w:ascii="Calibri" w:hAnsi="Calibri" w:cs="Calibri"/>
          <w:color w:val="000000"/>
        </w:rPr>
        <w:t xml:space="preserve">                  </w:t>
      </w:r>
      <w:r w:rsidRPr="004D3D71">
        <w:rPr>
          <w:rFonts w:ascii="Calibri" w:hAnsi="Calibri" w:cs="Calibri"/>
          <w:color w:val="000000"/>
        </w:rPr>
        <w:t>à domicile.</w:t>
      </w:r>
    </w:p>
    <w:p w14:paraId="0C4564CC" w14:textId="77777777" w:rsidR="00C467F4" w:rsidRPr="004D3D71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ind w:left="720"/>
        <w:jc w:val="both"/>
        <w:rPr>
          <w:rFonts w:ascii="Calibri" w:hAnsi="Calibri" w:cs="Calibri"/>
          <w:color w:val="000000"/>
        </w:rPr>
      </w:pPr>
    </w:p>
    <w:p w14:paraId="4BB82D9C" w14:textId="77777777" w:rsid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1° La fiche comporte les éléments suivants :</w:t>
      </w:r>
    </w:p>
    <w:p w14:paraId="62AA7BA8" w14:textId="77777777" w:rsidR="00C467F4" w:rsidRPr="004D3D71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73BA9F92" w14:textId="4C725B83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 xml:space="preserve">la formation accomplie pour pratiquer le </w:t>
      </w:r>
      <w:r w:rsidR="004139D7">
        <w:rPr>
          <w:rFonts w:ascii="Calibri" w:hAnsi="Calibri" w:cs="Calibri"/>
          <w:color w:val="000000"/>
        </w:rPr>
        <w:t>test</w:t>
      </w:r>
      <w:r w:rsidRPr="004D3D71">
        <w:rPr>
          <w:rFonts w:ascii="Calibri" w:hAnsi="Calibri" w:cs="Calibri"/>
          <w:color w:val="000000"/>
        </w:rPr>
        <w:t xml:space="preserve"> ;</w:t>
      </w:r>
    </w:p>
    <w:p w14:paraId="5988A570" w14:textId="5A2D7BBE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 xml:space="preserve">les modalités de respect des recommandations du fabricant du </w:t>
      </w:r>
      <w:r w:rsidR="004139D7">
        <w:rPr>
          <w:rFonts w:ascii="Calibri" w:hAnsi="Calibri" w:cs="Calibri"/>
          <w:color w:val="000000"/>
        </w:rPr>
        <w:t>test</w:t>
      </w:r>
      <w:r w:rsidRPr="004D3D71">
        <w:rPr>
          <w:rFonts w:ascii="Calibri" w:hAnsi="Calibri" w:cs="Calibri"/>
          <w:color w:val="000000"/>
        </w:rPr>
        <w:t xml:space="preserve"> ;</w:t>
      </w:r>
    </w:p>
    <w:p w14:paraId="6A3FAE33" w14:textId="1DF108FC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 xml:space="preserve">les modalités pour la communication appropriée du résultat </w:t>
      </w:r>
      <w:r w:rsidR="004139D7">
        <w:rPr>
          <w:rFonts w:ascii="Calibri" w:hAnsi="Calibri" w:cs="Calibri"/>
          <w:color w:val="000000"/>
        </w:rPr>
        <w:t>du test</w:t>
      </w:r>
      <w:r w:rsidRPr="004D3D71">
        <w:rPr>
          <w:rFonts w:ascii="Calibri" w:hAnsi="Calibri" w:cs="Calibri"/>
          <w:color w:val="000000"/>
        </w:rPr>
        <w:t xml:space="preserve"> </w:t>
      </w:r>
      <w:r w:rsidR="004139D7">
        <w:rPr>
          <w:rFonts w:ascii="Calibri" w:hAnsi="Calibri" w:cs="Calibri"/>
          <w:color w:val="000000"/>
        </w:rPr>
        <w:t>à la patiente</w:t>
      </w:r>
      <w:r w:rsidRPr="004D3D71">
        <w:rPr>
          <w:rFonts w:ascii="Calibri" w:hAnsi="Calibri" w:cs="Calibri"/>
          <w:color w:val="000000"/>
        </w:rPr>
        <w:t xml:space="preserve"> ;</w:t>
      </w:r>
    </w:p>
    <w:p w14:paraId="280AC5AD" w14:textId="42F260AC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les modalités de la prise en charge d</w:t>
      </w:r>
      <w:r w:rsidR="004139D7">
        <w:rPr>
          <w:rFonts w:ascii="Calibri" w:hAnsi="Calibri" w:cs="Calibri"/>
          <w:color w:val="000000"/>
        </w:rPr>
        <w:t>e la</w:t>
      </w:r>
      <w:r w:rsidRPr="004D3D71">
        <w:rPr>
          <w:rFonts w:ascii="Calibri" w:hAnsi="Calibri" w:cs="Calibri"/>
          <w:color w:val="000000"/>
        </w:rPr>
        <w:t xml:space="preserve"> patient</w:t>
      </w:r>
      <w:r w:rsidR="004139D7">
        <w:rPr>
          <w:rFonts w:ascii="Calibri" w:hAnsi="Calibri" w:cs="Calibri"/>
          <w:color w:val="000000"/>
        </w:rPr>
        <w:t>e</w:t>
      </w:r>
      <w:r w:rsidRPr="004D3D71">
        <w:rPr>
          <w:rFonts w:ascii="Calibri" w:hAnsi="Calibri" w:cs="Calibri"/>
          <w:color w:val="000000"/>
        </w:rPr>
        <w:t xml:space="preserve"> en cas de positivité </w:t>
      </w:r>
      <w:r w:rsidR="004139D7">
        <w:rPr>
          <w:rFonts w:ascii="Calibri" w:hAnsi="Calibri" w:cs="Calibri"/>
          <w:color w:val="000000"/>
        </w:rPr>
        <w:t>du test</w:t>
      </w:r>
      <w:r w:rsidRPr="004D3D71">
        <w:rPr>
          <w:rFonts w:ascii="Calibri" w:hAnsi="Calibri" w:cs="Calibri"/>
          <w:color w:val="000000"/>
        </w:rPr>
        <w:t xml:space="preserve"> ;</w:t>
      </w:r>
    </w:p>
    <w:p w14:paraId="404E4DF2" w14:textId="67737801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les modalités d'élimination des déchets d'activité de soins à risques infectieux (DASRI) ;</w:t>
      </w:r>
    </w:p>
    <w:p w14:paraId="3001B465" w14:textId="307388BC" w:rsidR="004139D7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les modalités de contrôle des appareils de mesure utilisés</w:t>
      </w:r>
      <w:r w:rsidR="004139D7">
        <w:rPr>
          <w:rFonts w:ascii="Calibri" w:hAnsi="Calibri" w:cs="Calibri"/>
          <w:color w:val="000000"/>
        </w:rPr>
        <w:t>.</w:t>
      </w:r>
    </w:p>
    <w:p w14:paraId="3B5A4655" w14:textId="77777777" w:rsidR="00C467F4" w:rsidRPr="004D3D71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06A29047" w14:textId="3826A8C9" w:rsid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2° Les modalités de la traçabilité des résultats des tests pour chaque patient</w:t>
      </w:r>
      <w:r w:rsidR="00C235DD">
        <w:rPr>
          <w:rFonts w:ascii="Calibri" w:hAnsi="Calibri" w:cs="Calibri"/>
          <w:color w:val="000000"/>
        </w:rPr>
        <w:t>e</w:t>
      </w:r>
      <w:r w:rsidRPr="004D3D71">
        <w:rPr>
          <w:rFonts w:ascii="Calibri" w:hAnsi="Calibri" w:cs="Calibri"/>
          <w:color w:val="000000"/>
        </w:rPr>
        <w:t xml:space="preserve"> nécessitent </w:t>
      </w:r>
      <w:proofErr w:type="gramStart"/>
      <w:r w:rsidRPr="004D3D71">
        <w:rPr>
          <w:rFonts w:ascii="Calibri" w:hAnsi="Calibri" w:cs="Calibri"/>
          <w:color w:val="000000"/>
        </w:rPr>
        <w:t>d'inscrire</w:t>
      </w:r>
      <w:proofErr w:type="gramEnd"/>
      <w:r w:rsidRPr="004D3D71">
        <w:rPr>
          <w:rFonts w:ascii="Calibri" w:hAnsi="Calibri" w:cs="Calibri"/>
          <w:color w:val="000000"/>
        </w:rPr>
        <w:t xml:space="preserve"> dans le dossier de chaque patient</w:t>
      </w:r>
      <w:r w:rsidR="00C235DD">
        <w:rPr>
          <w:rFonts w:ascii="Calibri" w:hAnsi="Calibri" w:cs="Calibri"/>
          <w:color w:val="000000"/>
        </w:rPr>
        <w:t>e</w:t>
      </w:r>
      <w:r w:rsidRPr="004D3D71">
        <w:rPr>
          <w:rFonts w:ascii="Calibri" w:hAnsi="Calibri" w:cs="Calibri"/>
          <w:color w:val="000000"/>
        </w:rPr>
        <w:t xml:space="preserve"> ou dans le cahier de liaison ou de suivi </w:t>
      </w:r>
      <w:r w:rsidR="000505B4">
        <w:rPr>
          <w:rFonts w:ascii="Calibri" w:hAnsi="Calibri" w:cs="Calibri"/>
          <w:color w:val="000000"/>
        </w:rPr>
        <w:t xml:space="preserve">                               </w:t>
      </w:r>
      <w:r w:rsidRPr="004D3D71">
        <w:rPr>
          <w:rFonts w:ascii="Calibri" w:hAnsi="Calibri" w:cs="Calibri"/>
          <w:color w:val="000000"/>
        </w:rPr>
        <w:t>d</w:t>
      </w:r>
      <w:r w:rsidR="000505B4">
        <w:rPr>
          <w:rFonts w:ascii="Calibri" w:hAnsi="Calibri" w:cs="Calibri"/>
          <w:color w:val="000000"/>
        </w:rPr>
        <w:t xml:space="preserve">e la </w:t>
      </w:r>
      <w:r w:rsidRPr="004D3D71">
        <w:rPr>
          <w:rFonts w:ascii="Calibri" w:hAnsi="Calibri" w:cs="Calibri"/>
          <w:color w:val="000000"/>
        </w:rPr>
        <w:t>patient</w:t>
      </w:r>
      <w:r w:rsidR="000505B4">
        <w:rPr>
          <w:rFonts w:ascii="Calibri" w:hAnsi="Calibri" w:cs="Calibri"/>
          <w:color w:val="000000"/>
        </w:rPr>
        <w:t>e</w:t>
      </w:r>
      <w:r w:rsidRPr="004D3D71">
        <w:rPr>
          <w:rFonts w:ascii="Calibri" w:hAnsi="Calibri" w:cs="Calibri"/>
          <w:color w:val="000000"/>
        </w:rPr>
        <w:t xml:space="preserve"> à domicile :</w:t>
      </w:r>
    </w:p>
    <w:p w14:paraId="395817BE" w14:textId="77777777" w:rsidR="00C467F4" w:rsidRPr="004D3D71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2585B7AE" w14:textId="61A6AB2D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 résultat du test avec les unités utilisées ;</w:t>
      </w:r>
    </w:p>
    <w:p w14:paraId="15E4576B" w14:textId="5201CEB7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les informations concernant le dispositif médical ou le dispositif médical de diagnostic in vitro utilisé (nom du dispositif, noms du fabriquant et du distributeur) ;</w:t>
      </w:r>
    </w:p>
    <w:p w14:paraId="73FA691A" w14:textId="2A641581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 numéro de lot et de la date de péremption du test utilisé ;</w:t>
      </w:r>
    </w:p>
    <w:p w14:paraId="689F045A" w14:textId="5C99B33A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le cas échéant, le nom et le numéro de lot de l'appareil de lecture ;</w:t>
      </w:r>
    </w:p>
    <w:p w14:paraId="3776DEEA" w14:textId="0F7DAF36" w:rsidR="004D3D71" w:rsidRP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>la date et l'heure de réalisation ;</w:t>
      </w:r>
    </w:p>
    <w:p w14:paraId="66529843" w14:textId="30F640F6" w:rsidR="004D3D71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>-</w:t>
      </w:r>
      <w:r w:rsidR="004139D7">
        <w:rPr>
          <w:rFonts w:ascii="Calibri" w:hAnsi="Calibri" w:cs="Calibri"/>
          <w:color w:val="000000"/>
        </w:rPr>
        <w:t xml:space="preserve"> </w:t>
      </w:r>
      <w:r w:rsidRPr="004D3D71">
        <w:rPr>
          <w:rFonts w:ascii="Calibri" w:hAnsi="Calibri" w:cs="Calibri"/>
          <w:color w:val="000000"/>
        </w:rPr>
        <w:t xml:space="preserve">l'identification du </w:t>
      </w:r>
      <w:r w:rsidR="004139D7">
        <w:rPr>
          <w:rFonts w:ascii="Calibri" w:hAnsi="Calibri" w:cs="Calibri"/>
          <w:color w:val="000000"/>
        </w:rPr>
        <w:t>pharmacien d’officine</w:t>
      </w:r>
      <w:r w:rsidRPr="004D3D71">
        <w:rPr>
          <w:rFonts w:ascii="Calibri" w:hAnsi="Calibri" w:cs="Calibri"/>
          <w:color w:val="000000"/>
        </w:rPr>
        <w:t xml:space="preserve"> ayant réalisé le test.</w:t>
      </w:r>
    </w:p>
    <w:p w14:paraId="4FBBF469" w14:textId="77777777" w:rsidR="00C467F4" w:rsidRPr="004D3D71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521D3A85" w14:textId="65FF2066" w:rsidR="005401E0" w:rsidRDefault="004D3D71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4D3D71">
        <w:rPr>
          <w:rFonts w:ascii="Calibri" w:hAnsi="Calibri" w:cs="Calibri"/>
          <w:color w:val="000000"/>
        </w:rPr>
        <w:t xml:space="preserve">Dans le cadre de la réactovigilance et de la matériovigilance, toute défaillance ou altération du test ou de l'appareil de lecture susceptible d'entrainer des effets néfastes pour la santé </w:t>
      </w:r>
      <w:r w:rsidR="009B64BD">
        <w:rPr>
          <w:rFonts w:ascii="Calibri" w:hAnsi="Calibri" w:cs="Calibri"/>
          <w:color w:val="000000"/>
        </w:rPr>
        <w:t xml:space="preserve">     </w:t>
      </w:r>
      <w:r w:rsidRPr="004D3D71">
        <w:rPr>
          <w:rFonts w:ascii="Calibri" w:hAnsi="Calibri" w:cs="Calibri"/>
          <w:color w:val="000000"/>
        </w:rPr>
        <w:t>des personnes doit être déclarée sans délai à l'Agence nationale de sécurité du médicament et des produits de santé</w:t>
      </w:r>
      <w:r w:rsidR="004139D7">
        <w:rPr>
          <w:rFonts w:ascii="Calibri" w:hAnsi="Calibri" w:cs="Calibri"/>
          <w:color w:val="000000"/>
        </w:rPr>
        <w:t xml:space="preserve"> (ANSM)</w:t>
      </w:r>
      <w:r w:rsidRPr="004D3D71">
        <w:rPr>
          <w:rFonts w:ascii="Calibri" w:hAnsi="Calibri" w:cs="Calibri"/>
          <w:color w:val="000000"/>
        </w:rPr>
        <w:t>.</w:t>
      </w:r>
    </w:p>
    <w:p w14:paraId="1CE204CA" w14:textId="77777777" w:rsidR="00C467F4" w:rsidRPr="004D3D71" w:rsidRDefault="00C467F4" w:rsidP="00C467F4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523A488B" w14:textId="3D51FE5A" w:rsidR="00822AAF" w:rsidRPr="004139D7" w:rsidRDefault="00822AAF" w:rsidP="00C467F4">
      <w:pPr>
        <w:pStyle w:val="Default"/>
        <w:spacing w:afterLines="20" w:after="48"/>
        <w:jc w:val="both"/>
        <w:rPr>
          <w:rFonts w:ascii="Calibri" w:hAnsi="Calibri" w:cs="Calibri"/>
        </w:rPr>
      </w:pPr>
      <w:r w:rsidRPr="004D3D71">
        <w:rPr>
          <w:rFonts w:ascii="Calibri" w:hAnsi="Calibri" w:cs="Calibri"/>
        </w:rPr>
        <w:t xml:space="preserve">La déclaration à l'ANSM </w:t>
      </w:r>
      <w:r w:rsidR="005401E0" w:rsidRPr="004D3D71">
        <w:rPr>
          <w:rFonts w:ascii="Calibri" w:hAnsi="Calibri" w:cs="Calibri"/>
        </w:rPr>
        <w:t xml:space="preserve">doit être faite </w:t>
      </w:r>
      <w:r w:rsidR="00474AFD" w:rsidRPr="004D3D71">
        <w:rPr>
          <w:rFonts w:ascii="Calibri" w:hAnsi="Calibri" w:cs="Calibri"/>
        </w:rPr>
        <w:t xml:space="preserve">en ligne, à l’adresse suivante </w:t>
      </w:r>
      <w:r w:rsidRPr="004D3D71">
        <w:rPr>
          <w:rFonts w:ascii="Calibri" w:hAnsi="Calibri" w:cs="Calibri"/>
        </w:rPr>
        <w:t xml:space="preserve">: </w:t>
      </w:r>
      <w:hyperlink r:id="rId7" w:history="1">
        <w:r w:rsidR="00E33A50" w:rsidRPr="004D3D71">
          <w:rPr>
            <w:rStyle w:val="Lienhypertexte"/>
            <w:rFonts w:ascii="Calibri" w:hAnsi="Calibri" w:cs="Calibri"/>
          </w:rPr>
          <w:t>https://signalement.social-sante.gouv.fr</w:t>
        </w:r>
      </w:hyperlink>
      <w:r w:rsidR="00E33A50" w:rsidRPr="004D3D71">
        <w:rPr>
          <w:rFonts w:ascii="Calibri" w:hAnsi="Calibri" w:cs="Calibri"/>
        </w:rPr>
        <w:t xml:space="preserve"> </w:t>
      </w:r>
      <w:r w:rsidRPr="004D3D71">
        <w:rPr>
          <w:rFonts w:ascii="Calibri" w:hAnsi="Calibri" w:cs="Calibri"/>
        </w:rPr>
        <w:t xml:space="preserve">. </w:t>
      </w:r>
    </w:p>
    <w:sectPr w:rsidR="00822AAF" w:rsidRPr="00413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96D4F" w14:textId="77777777" w:rsidR="00194F7D" w:rsidRDefault="00194F7D" w:rsidP="00B91858">
      <w:pPr>
        <w:spacing w:after="0" w:line="240" w:lineRule="auto"/>
      </w:pPr>
      <w:r>
        <w:separator/>
      </w:r>
    </w:p>
  </w:endnote>
  <w:endnote w:type="continuationSeparator" w:id="0">
    <w:p w14:paraId="426C24FE" w14:textId="77777777" w:rsidR="00194F7D" w:rsidRDefault="00194F7D" w:rsidP="00B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4F53F" w14:textId="77777777" w:rsidR="00194F7D" w:rsidRDefault="00194F7D" w:rsidP="00B91858">
      <w:pPr>
        <w:spacing w:after="0" w:line="240" w:lineRule="auto"/>
      </w:pPr>
      <w:r>
        <w:separator/>
      </w:r>
    </w:p>
  </w:footnote>
  <w:footnote w:type="continuationSeparator" w:id="0">
    <w:p w14:paraId="57AAFEAB" w14:textId="77777777" w:rsidR="00194F7D" w:rsidRDefault="00194F7D" w:rsidP="00B9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FA2F" w14:textId="5F6AC6EE" w:rsidR="00B91858" w:rsidRPr="00281A70" w:rsidRDefault="00281A70" w:rsidP="00281A70">
    <w:pPr>
      <w:spacing w:afterLines="20" w:after="48" w:line="240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  <w:r>
      <w:rPr>
        <w:rFonts w:ascii="Calibri" w:eastAsiaTheme="majorEastAsia" w:hAnsi="Calibri" w:cs="Calibri"/>
        <w:b/>
        <w:bCs/>
        <w:sz w:val="24"/>
        <w:szCs w:val="24"/>
      </w:rPr>
      <w:t xml:space="preserve">ANNEXE N° </w:t>
    </w:r>
    <w:r w:rsidR="0038490B">
      <w:rPr>
        <w:rFonts w:ascii="Calibri" w:eastAsiaTheme="majorEastAsia" w:hAnsi="Calibri" w:cs="Calibri"/>
        <w:b/>
        <w:bCs/>
        <w:sz w:val="24"/>
        <w:szCs w:val="24"/>
      </w:rPr>
      <w:t>5</w:t>
    </w:r>
  </w:p>
  <w:p w14:paraId="2FBC7E1A" w14:textId="4A3B8BAF" w:rsidR="00B91858" w:rsidRPr="00C467F4" w:rsidRDefault="00B91858" w:rsidP="00B91858">
    <w:pPr>
      <w:pStyle w:val="En-tte"/>
      <w:jc w:val="center"/>
      <w:rPr>
        <w:rFonts w:ascii="Calibri" w:hAnsi="Calibri" w:cs="Calibri"/>
        <w:b/>
        <w:bCs/>
        <w:sz w:val="24"/>
        <w:szCs w:val="24"/>
      </w:rPr>
    </w:pPr>
    <w:r w:rsidRPr="00C467F4">
      <w:rPr>
        <w:rFonts w:ascii="Calibri" w:hAnsi="Calibri" w:cs="Calibri"/>
        <w:b/>
        <w:bCs/>
        <w:sz w:val="24"/>
        <w:szCs w:val="24"/>
      </w:rPr>
      <w:t xml:space="preserve">MODÈLE TYPE DE PROCÉDURE D'ASSURANCE QUALITÉ </w:t>
    </w:r>
  </w:p>
  <w:p w14:paraId="65982333" w14:textId="1141AAA3" w:rsidR="00B91858" w:rsidRPr="00C467F4" w:rsidRDefault="00B91858" w:rsidP="00B91858">
    <w:pPr>
      <w:pStyle w:val="En-tte"/>
      <w:jc w:val="center"/>
      <w:rPr>
        <w:rFonts w:ascii="Calibri" w:hAnsi="Calibri" w:cs="Calibri"/>
        <w:b/>
        <w:bCs/>
        <w:sz w:val="24"/>
        <w:szCs w:val="24"/>
      </w:rPr>
    </w:pPr>
    <w:r w:rsidRPr="00C467F4">
      <w:rPr>
        <w:rFonts w:ascii="Calibri" w:hAnsi="Calibri" w:cs="Calibri"/>
        <w:b/>
        <w:bCs/>
        <w:sz w:val="24"/>
        <w:szCs w:val="24"/>
      </w:rPr>
      <w:t>POUR LA RÉALISATION DES TROD CYSTITE PAR LE PHARMACIEN D'OFFICINE</w:t>
    </w:r>
  </w:p>
  <w:p w14:paraId="396B7393" w14:textId="77777777" w:rsidR="00B91858" w:rsidRPr="00B91858" w:rsidRDefault="00B91858" w:rsidP="00B91858">
    <w:pPr>
      <w:pStyle w:val="En-tte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62D"/>
    <w:multiLevelType w:val="hybridMultilevel"/>
    <w:tmpl w:val="7C70582E"/>
    <w:lvl w:ilvl="0" w:tplc="94A880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6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0455F9"/>
    <w:rsid w:val="000505B4"/>
    <w:rsid w:val="00060F0E"/>
    <w:rsid w:val="00086243"/>
    <w:rsid w:val="00106F43"/>
    <w:rsid w:val="00185F6A"/>
    <w:rsid w:val="00193D7C"/>
    <w:rsid w:val="00194F7D"/>
    <w:rsid w:val="001D73AD"/>
    <w:rsid w:val="00204BB5"/>
    <w:rsid w:val="00281A70"/>
    <w:rsid w:val="002B42F8"/>
    <w:rsid w:val="002B736B"/>
    <w:rsid w:val="002E6006"/>
    <w:rsid w:val="002F708C"/>
    <w:rsid w:val="0037566D"/>
    <w:rsid w:val="0038490B"/>
    <w:rsid w:val="003A1540"/>
    <w:rsid w:val="003B6A4F"/>
    <w:rsid w:val="00403544"/>
    <w:rsid w:val="004139D7"/>
    <w:rsid w:val="00474AFD"/>
    <w:rsid w:val="004D3D71"/>
    <w:rsid w:val="00503964"/>
    <w:rsid w:val="00524FC2"/>
    <w:rsid w:val="00532664"/>
    <w:rsid w:val="005401E0"/>
    <w:rsid w:val="00553D48"/>
    <w:rsid w:val="00577E03"/>
    <w:rsid w:val="005821E4"/>
    <w:rsid w:val="006137A9"/>
    <w:rsid w:val="00663854"/>
    <w:rsid w:val="00664119"/>
    <w:rsid w:val="00696D4A"/>
    <w:rsid w:val="007B79FD"/>
    <w:rsid w:val="007E223E"/>
    <w:rsid w:val="00812660"/>
    <w:rsid w:val="00822AAF"/>
    <w:rsid w:val="00855F26"/>
    <w:rsid w:val="008C2E80"/>
    <w:rsid w:val="008E4DC0"/>
    <w:rsid w:val="00931AA9"/>
    <w:rsid w:val="009B64BD"/>
    <w:rsid w:val="00A7200A"/>
    <w:rsid w:val="00A80FEC"/>
    <w:rsid w:val="00A93B24"/>
    <w:rsid w:val="00B408CF"/>
    <w:rsid w:val="00B84E6D"/>
    <w:rsid w:val="00B91858"/>
    <w:rsid w:val="00C235DD"/>
    <w:rsid w:val="00C24C90"/>
    <w:rsid w:val="00C35215"/>
    <w:rsid w:val="00C467F4"/>
    <w:rsid w:val="00D17F61"/>
    <w:rsid w:val="00D44D42"/>
    <w:rsid w:val="00E33A50"/>
    <w:rsid w:val="00E730B2"/>
    <w:rsid w:val="00EC209F"/>
    <w:rsid w:val="00EC2C41"/>
    <w:rsid w:val="00EF4916"/>
    <w:rsid w:val="00F1090F"/>
    <w:rsid w:val="00F35566"/>
    <w:rsid w:val="00F67110"/>
    <w:rsid w:val="00F766B5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0044E"/>
  <w15:chartTrackingRefBased/>
  <w15:docId w15:val="{E68A4A94-3FEC-40A8-A013-198DC74F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4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2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2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2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42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42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42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42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42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42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2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42F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858"/>
  </w:style>
  <w:style w:type="paragraph" w:styleId="Pieddepage">
    <w:name w:val="footer"/>
    <w:basedOn w:val="Normal"/>
    <w:link w:val="PieddepageCar"/>
    <w:uiPriority w:val="99"/>
    <w:unhideWhenUsed/>
    <w:rsid w:val="00B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858"/>
  </w:style>
  <w:style w:type="paragraph" w:customStyle="1" w:styleId="Default">
    <w:name w:val="Default"/>
    <w:rsid w:val="00B91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22AA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A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gnalement.social-sant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AMINE-MOTILVA</dc:creator>
  <cp:keywords/>
  <dc:description/>
  <cp:lastModifiedBy>Jean-Baptiste AMINE-MOTILVA</cp:lastModifiedBy>
  <cp:revision>43</cp:revision>
  <dcterms:created xsi:type="dcterms:W3CDTF">2024-06-27T07:53:00Z</dcterms:created>
  <dcterms:modified xsi:type="dcterms:W3CDTF">2024-07-05T08:55:00Z</dcterms:modified>
</cp:coreProperties>
</file>