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7794" w14:textId="77777777" w:rsidR="00B40362" w:rsidRPr="00B95E4C" w:rsidRDefault="00B40362" w:rsidP="004A37D4">
      <w:pPr>
        <w:spacing w:afterLines="20" w:after="48" w:line="240" w:lineRule="auto"/>
        <w:jc w:val="both"/>
        <w:rPr>
          <w:rFonts w:ascii="Calibri" w:eastAsiaTheme="majorEastAsia" w:hAnsi="Calibri" w:cs="Calibri"/>
          <w:b/>
          <w:bCs/>
        </w:rPr>
      </w:pPr>
    </w:p>
    <w:p w14:paraId="7481D73A" w14:textId="77777777"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r w:rsidRPr="00B95E4C">
        <w:rPr>
          <w:rFonts w:ascii="Calibri" w:hAnsi="Calibri" w:cs="Calibri"/>
          <w:b/>
          <w:bCs/>
          <w:color w:val="000000"/>
          <w:sz w:val="22"/>
          <w:szCs w:val="22"/>
          <w:u w:val="single"/>
        </w:rPr>
        <w:t>Formation théorique et pratique :</w:t>
      </w:r>
    </w:p>
    <w:p w14:paraId="102D9BD4" w14:textId="055AD2DF"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xml:space="preserve">La formation est d'une durée maximale de 4 heures dont tout ou partie peut être réalisé </w:t>
      </w:r>
      <w:r w:rsidR="00ED17F3">
        <w:rPr>
          <w:rFonts w:ascii="Calibri" w:hAnsi="Calibri" w:cs="Calibri"/>
          <w:color w:val="000000"/>
          <w:sz w:val="22"/>
          <w:szCs w:val="22"/>
        </w:rPr>
        <w:t xml:space="preserve">                            </w:t>
      </w:r>
      <w:r w:rsidR="005D54B4">
        <w:rPr>
          <w:rFonts w:ascii="Calibri" w:hAnsi="Calibri" w:cs="Calibri"/>
          <w:color w:val="000000"/>
          <w:sz w:val="22"/>
          <w:szCs w:val="22"/>
        </w:rPr>
        <w:t xml:space="preserve">            </w:t>
      </w:r>
      <w:r w:rsidRPr="00B95E4C">
        <w:rPr>
          <w:rFonts w:ascii="Calibri" w:hAnsi="Calibri" w:cs="Calibri"/>
          <w:color w:val="000000"/>
          <w:sz w:val="22"/>
          <w:szCs w:val="22"/>
        </w:rPr>
        <w:t>en e-learning.</w:t>
      </w:r>
    </w:p>
    <w:p w14:paraId="5A3C61FF" w14:textId="77777777"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p>
    <w:p w14:paraId="1923F523" w14:textId="15B84BB0"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r w:rsidRPr="00B95E4C">
        <w:rPr>
          <w:rFonts w:ascii="Calibri" w:hAnsi="Calibri" w:cs="Calibri"/>
          <w:b/>
          <w:bCs/>
          <w:color w:val="000000"/>
          <w:sz w:val="22"/>
          <w:szCs w:val="22"/>
          <w:u w:val="single"/>
        </w:rPr>
        <w:br/>
        <w:t>Compétences à acquérir :</w:t>
      </w:r>
    </w:p>
    <w:p w14:paraId="60558D5B" w14:textId="4B62769A"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xml:space="preserve">Elles relèvent d'une part de la connaissance des exigences réglementaires </w:t>
      </w:r>
      <w:r w:rsidR="000C39E3">
        <w:rPr>
          <w:rFonts w:ascii="Calibri" w:hAnsi="Calibri" w:cs="Calibri"/>
          <w:color w:val="000000"/>
          <w:sz w:val="22"/>
          <w:szCs w:val="22"/>
        </w:rPr>
        <w:t>de l’</w:t>
      </w:r>
      <w:r w:rsidRPr="00B95E4C">
        <w:rPr>
          <w:rFonts w:ascii="Calibri" w:hAnsi="Calibri" w:cs="Calibri"/>
          <w:color w:val="000000"/>
          <w:sz w:val="22"/>
          <w:szCs w:val="22"/>
        </w:rPr>
        <w:t>arrêté</w:t>
      </w:r>
      <w:r w:rsidR="000C39E3">
        <w:rPr>
          <w:rFonts w:ascii="Calibri" w:hAnsi="Calibri" w:cs="Calibri"/>
          <w:color w:val="000000"/>
          <w:sz w:val="22"/>
          <w:szCs w:val="22"/>
        </w:rPr>
        <w:t xml:space="preserve"> du 17 juin 202</w:t>
      </w:r>
      <w:r w:rsidR="00541FB5">
        <w:rPr>
          <w:rFonts w:ascii="Calibri" w:hAnsi="Calibri" w:cs="Calibri"/>
          <w:color w:val="000000"/>
          <w:sz w:val="22"/>
          <w:szCs w:val="22"/>
        </w:rPr>
        <w:t>4</w:t>
      </w:r>
      <w:r w:rsidR="009943B5">
        <w:rPr>
          <w:rStyle w:val="Appelnotedebasdep"/>
          <w:rFonts w:ascii="Calibri" w:hAnsi="Calibri" w:cs="Calibri"/>
          <w:color w:val="000000"/>
          <w:sz w:val="22"/>
          <w:szCs w:val="22"/>
        </w:rPr>
        <w:footnoteReference w:id="1"/>
      </w:r>
      <w:r w:rsidRPr="00B95E4C">
        <w:rPr>
          <w:rFonts w:ascii="Calibri" w:hAnsi="Calibri" w:cs="Calibri"/>
          <w:color w:val="000000"/>
          <w:sz w:val="22"/>
          <w:szCs w:val="22"/>
        </w:rPr>
        <w:t xml:space="preserve"> </w:t>
      </w:r>
      <w:r w:rsidR="00ED17F3">
        <w:rPr>
          <w:rFonts w:ascii="Calibri" w:hAnsi="Calibri" w:cs="Calibri"/>
          <w:color w:val="000000"/>
          <w:sz w:val="22"/>
          <w:szCs w:val="22"/>
        </w:rPr>
        <w:t xml:space="preserve">                              </w:t>
      </w:r>
      <w:r w:rsidRPr="00B95E4C">
        <w:rPr>
          <w:rFonts w:ascii="Calibri" w:hAnsi="Calibri" w:cs="Calibri"/>
          <w:color w:val="000000"/>
          <w:sz w:val="22"/>
          <w:szCs w:val="22"/>
        </w:rPr>
        <w:t>et des textes relatifs à la prescription conditionnelle. L'ensemble des recommandations en vigueur, dont celles de la HAS, en lien avec l'utilisation des antibiotiques dans le traitement de la cystite aiguë simple sont également à connaître en prenant en compte leur actualisation éventuelle.</w:t>
      </w:r>
    </w:p>
    <w:p w14:paraId="30171FA9" w14:textId="0DBC4412"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shd w:val="clear" w:color="auto" w:fill="FFFFFF"/>
        </w:rPr>
      </w:pPr>
      <w:r w:rsidRPr="00B95E4C">
        <w:rPr>
          <w:rFonts w:ascii="Calibri" w:hAnsi="Calibri" w:cs="Calibri"/>
          <w:color w:val="000000"/>
          <w:sz w:val="22"/>
          <w:szCs w:val="22"/>
        </w:rPr>
        <w:br/>
        <w:t>Elles relèvent d'autre part d'une parfaite connaissance des logigrammes</w:t>
      </w:r>
      <w:r w:rsidR="00E23C0C" w:rsidRPr="00B95E4C">
        <w:rPr>
          <w:rFonts w:ascii="Calibri" w:hAnsi="Calibri" w:cs="Calibri"/>
          <w:color w:val="000000"/>
          <w:sz w:val="22"/>
          <w:szCs w:val="22"/>
          <w:shd w:val="clear" w:color="auto" w:fill="FFFFFF"/>
        </w:rPr>
        <w:t xml:space="preserve"> relatifs aux modalités de prise en charge de la cystite à l’officine</w:t>
      </w:r>
      <w:r w:rsidRPr="00B95E4C">
        <w:rPr>
          <w:rFonts w:ascii="Calibri" w:hAnsi="Calibri" w:cs="Calibri"/>
          <w:color w:val="000000"/>
          <w:sz w:val="22"/>
          <w:szCs w:val="22"/>
        </w:rPr>
        <w:t>.</w:t>
      </w:r>
    </w:p>
    <w:p w14:paraId="17CEFDEB"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Il s'agit :</w:t>
      </w:r>
    </w:p>
    <w:p w14:paraId="30D3C463"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r>
      <w:r w:rsidR="004A37D4" w:rsidRPr="00B95E4C">
        <w:rPr>
          <w:rFonts w:ascii="Calibri" w:hAnsi="Calibri" w:cs="Calibri"/>
          <w:color w:val="000000"/>
          <w:sz w:val="22"/>
          <w:szCs w:val="22"/>
        </w:rPr>
        <w:t xml:space="preserve">- </w:t>
      </w:r>
      <w:r w:rsidRPr="00B95E4C">
        <w:rPr>
          <w:rFonts w:ascii="Calibri" w:hAnsi="Calibri" w:cs="Calibri"/>
          <w:color w:val="000000"/>
          <w:sz w:val="22"/>
          <w:szCs w:val="22"/>
        </w:rPr>
        <w:t>De connaître les facteurs d'exclusion d'urgence ;</w:t>
      </w:r>
    </w:p>
    <w:p w14:paraId="00DC4B17" w14:textId="7A7A569D"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w:t>
      </w:r>
      <w:r w:rsidR="00EE2A8C" w:rsidRPr="00B95E4C">
        <w:rPr>
          <w:rFonts w:ascii="Calibri" w:hAnsi="Calibri" w:cs="Calibri"/>
          <w:color w:val="000000"/>
          <w:sz w:val="22"/>
          <w:szCs w:val="22"/>
        </w:rPr>
        <w:t>De connaître les autres facteurs d'exclusion ;</w:t>
      </w:r>
    </w:p>
    <w:p w14:paraId="59570A5D" w14:textId="1E3957A5"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w:t>
      </w:r>
      <w:r w:rsidR="00EE2A8C" w:rsidRPr="00B95E4C">
        <w:rPr>
          <w:rFonts w:ascii="Calibri" w:hAnsi="Calibri" w:cs="Calibri"/>
          <w:color w:val="000000"/>
          <w:sz w:val="22"/>
          <w:szCs w:val="22"/>
        </w:rPr>
        <w:t>De connaître les signes de gravité.</w:t>
      </w:r>
    </w:p>
    <w:p w14:paraId="61A42635" w14:textId="35FBAEAF"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xml:space="preserve">En conséquence, il s'agit de savoir identifier les situations qui imposent au pharmacien d'adresser </w:t>
      </w:r>
      <w:r w:rsidR="00ED17F3">
        <w:rPr>
          <w:rFonts w:ascii="Calibri" w:hAnsi="Calibri" w:cs="Calibri"/>
          <w:color w:val="000000"/>
          <w:sz w:val="22"/>
          <w:szCs w:val="22"/>
        </w:rPr>
        <w:t xml:space="preserve">                  </w:t>
      </w:r>
      <w:r w:rsidRPr="00B95E4C">
        <w:rPr>
          <w:rFonts w:ascii="Calibri" w:hAnsi="Calibri" w:cs="Calibri"/>
          <w:color w:val="000000"/>
          <w:sz w:val="22"/>
          <w:szCs w:val="22"/>
        </w:rPr>
        <w:t>la patiente à un médecin.</w:t>
      </w:r>
    </w:p>
    <w:p w14:paraId="3D64EBBC"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Il s'agit également :</w:t>
      </w:r>
    </w:p>
    <w:p w14:paraId="7E686244" w14:textId="2959E3A3"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r>
      <w:r w:rsidR="004A37D4" w:rsidRPr="00B95E4C">
        <w:rPr>
          <w:rFonts w:ascii="Calibri" w:hAnsi="Calibri" w:cs="Calibri"/>
          <w:color w:val="000000"/>
          <w:sz w:val="22"/>
          <w:szCs w:val="22"/>
        </w:rPr>
        <w:t xml:space="preserve">- </w:t>
      </w:r>
      <w:r w:rsidRPr="00B95E4C">
        <w:rPr>
          <w:rFonts w:ascii="Calibri" w:hAnsi="Calibri" w:cs="Calibri"/>
          <w:color w:val="000000"/>
          <w:sz w:val="22"/>
          <w:szCs w:val="22"/>
        </w:rPr>
        <w:t xml:space="preserve">De réaliser un test urinaire d'orientation diagnostique de recherche a minima de nitriturie </w:t>
      </w:r>
      <w:r w:rsidR="00ED17F3">
        <w:rPr>
          <w:rFonts w:ascii="Calibri" w:hAnsi="Calibri" w:cs="Calibri"/>
          <w:color w:val="000000"/>
          <w:sz w:val="22"/>
          <w:szCs w:val="22"/>
        </w:rPr>
        <w:t xml:space="preserve">                                </w:t>
      </w:r>
      <w:r w:rsidRPr="00B95E4C">
        <w:rPr>
          <w:rFonts w:ascii="Calibri" w:hAnsi="Calibri" w:cs="Calibri"/>
          <w:color w:val="000000"/>
          <w:sz w:val="22"/>
          <w:szCs w:val="22"/>
        </w:rPr>
        <w:t xml:space="preserve">et de leucocyturie ce qui comprend outre la réalisation du geste, la prise en compte de la traçabilité </w:t>
      </w:r>
      <w:r w:rsidR="00ED17F3">
        <w:rPr>
          <w:rFonts w:ascii="Calibri" w:hAnsi="Calibri" w:cs="Calibri"/>
          <w:color w:val="000000"/>
          <w:sz w:val="22"/>
          <w:szCs w:val="22"/>
        </w:rPr>
        <w:t xml:space="preserve">             </w:t>
      </w:r>
      <w:r w:rsidRPr="00B95E4C">
        <w:rPr>
          <w:rFonts w:ascii="Calibri" w:hAnsi="Calibri" w:cs="Calibri"/>
          <w:color w:val="000000"/>
          <w:sz w:val="22"/>
          <w:szCs w:val="22"/>
        </w:rPr>
        <w:t>à effectuer ;</w:t>
      </w:r>
    </w:p>
    <w:p w14:paraId="0326877B" w14:textId="3295BECA"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w:t>
      </w:r>
      <w:r w:rsidR="00EE2A8C" w:rsidRPr="00B95E4C">
        <w:rPr>
          <w:rFonts w:ascii="Calibri" w:hAnsi="Calibri" w:cs="Calibri"/>
          <w:color w:val="000000"/>
          <w:sz w:val="22"/>
          <w:szCs w:val="22"/>
        </w:rPr>
        <w:t xml:space="preserve">De savoir lire le résultat du test, interpréter celui-ci, en tirer les conséquences pour réorienter </w:t>
      </w:r>
      <w:r w:rsidR="00ED17F3">
        <w:rPr>
          <w:rFonts w:ascii="Calibri" w:hAnsi="Calibri" w:cs="Calibri"/>
          <w:color w:val="000000"/>
          <w:sz w:val="22"/>
          <w:szCs w:val="22"/>
        </w:rPr>
        <w:t xml:space="preserve">                         </w:t>
      </w:r>
      <w:r w:rsidR="00EE2A8C" w:rsidRPr="00B95E4C">
        <w:rPr>
          <w:rFonts w:ascii="Calibri" w:hAnsi="Calibri" w:cs="Calibri"/>
          <w:color w:val="000000"/>
          <w:sz w:val="22"/>
          <w:szCs w:val="22"/>
        </w:rPr>
        <w:t>la patiente vers un médecin le cas échéant.</w:t>
      </w:r>
    </w:p>
    <w:p w14:paraId="7FDA67A4" w14:textId="78C6F15D"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Il s'agit enfin :</w:t>
      </w:r>
    </w:p>
    <w:p w14:paraId="1CBA036E" w14:textId="28998148"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r>
      <w:r w:rsidR="004A37D4" w:rsidRPr="00B95E4C">
        <w:rPr>
          <w:rFonts w:ascii="Calibri" w:hAnsi="Calibri" w:cs="Calibri"/>
          <w:color w:val="000000"/>
          <w:sz w:val="22"/>
          <w:szCs w:val="22"/>
        </w:rPr>
        <w:t xml:space="preserve">- </w:t>
      </w:r>
      <w:r w:rsidRPr="00B95E4C">
        <w:rPr>
          <w:rFonts w:ascii="Calibri" w:hAnsi="Calibri" w:cs="Calibri"/>
          <w:color w:val="000000"/>
          <w:sz w:val="22"/>
          <w:szCs w:val="22"/>
        </w:rPr>
        <w:t xml:space="preserve">De connaître les antibiotiques que le pharmacien peut délivrer dans le contexte d'un test positif, </w:t>
      </w:r>
      <w:r w:rsidR="00ED17F3">
        <w:rPr>
          <w:rFonts w:ascii="Calibri" w:hAnsi="Calibri" w:cs="Calibri"/>
          <w:color w:val="000000"/>
          <w:sz w:val="22"/>
          <w:szCs w:val="22"/>
        </w:rPr>
        <w:t xml:space="preserve">                </w:t>
      </w:r>
      <w:r w:rsidRPr="00B95E4C">
        <w:rPr>
          <w:rFonts w:ascii="Calibri" w:hAnsi="Calibri" w:cs="Calibri"/>
          <w:color w:val="000000"/>
          <w:sz w:val="22"/>
          <w:szCs w:val="22"/>
        </w:rPr>
        <w:t xml:space="preserve">leurs posologies, leur voie d'administration, leurs contre-indications, la durée de traitement </w:t>
      </w:r>
      <w:r w:rsidR="00ED17F3">
        <w:rPr>
          <w:rFonts w:ascii="Calibri" w:hAnsi="Calibri" w:cs="Calibri"/>
          <w:color w:val="000000"/>
          <w:sz w:val="22"/>
          <w:szCs w:val="22"/>
        </w:rPr>
        <w:t xml:space="preserve">                                   </w:t>
      </w:r>
      <w:r w:rsidRPr="00B95E4C">
        <w:rPr>
          <w:rFonts w:ascii="Calibri" w:hAnsi="Calibri" w:cs="Calibri"/>
          <w:color w:val="000000"/>
          <w:sz w:val="22"/>
          <w:szCs w:val="22"/>
        </w:rPr>
        <w:t>et leurs effets indésirables ;</w:t>
      </w:r>
    </w:p>
    <w:p w14:paraId="50362C9F" w14:textId="27224264"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w:t>
      </w:r>
      <w:r w:rsidR="00EE2A8C" w:rsidRPr="00B95E4C">
        <w:rPr>
          <w:rFonts w:ascii="Calibri" w:hAnsi="Calibri" w:cs="Calibri"/>
          <w:color w:val="000000"/>
          <w:sz w:val="22"/>
          <w:szCs w:val="22"/>
        </w:rPr>
        <w:t>De définir le traitement antibiotique pertinent selon la situation du patient ;</w:t>
      </w:r>
    </w:p>
    <w:p w14:paraId="383752F4" w14:textId="6859CF57"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w:t>
      </w:r>
      <w:r w:rsidR="00EE2A8C" w:rsidRPr="00B95E4C">
        <w:rPr>
          <w:rFonts w:ascii="Calibri" w:hAnsi="Calibri" w:cs="Calibri"/>
          <w:color w:val="000000"/>
          <w:sz w:val="22"/>
          <w:szCs w:val="22"/>
        </w:rPr>
        <w:t>De rechercher d'éventuelles allergies ou contre-indications ;</w:t>
      </w:r>
    </w:p>
    <w:p w14:paraId="76EE30B6" w14:textId="587434B7"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lastRenderedPageBreak/>
        <w:t xml:space="preserve">- </w:t>
      </w:r>
      <w:r w:rsidR="00EE2A8C" w:rsidRPr="00B95E4C">
        <w:rPr>
          <w:rFonts w:ascii="Calibri" w:hAnsi="Calibri" w:cs="Calibri"/>
          <w:color w:val="000000"/>
          <w:sz w:val="22"/>
          <w:szCs w:val="22"/>
        </w:rPr>
        <w:t>De délivrer les conseils nécessaires lors de la délivrance ;</w:t>
      </w:r>
    </w:p>
    <w:p w14:paraId="18AA57A2" w14:textId="7D1730D6"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w:t>
      </w:r>
      <w:r w:rsidR="00EE2A8C" w:rsidRPr="00B95E4C">
        <w:rPr>
          <w:rFonts w:ascii="Calibri" w:hAnsi="Calibri" w:cs="Calibri"/>
          <w:color w:val="000000"/>
          <w:sz w:val="22"/>
          <w:szCs w:val="22"/>
        </w:rPr>
        <w:t>De connaitre la conduite à tenir dans le cas où le test serait négatif.</w:t>
      </w:r>
    </w:p>
    <w:p w14:paraId="024E5556" w14:textId="77777777" w:rsidR="0030745A" w:rsidRPr="00B95E4C" w:rsidRDefault="0030745A" w:rsidP="004A37D4">
      <w:pPr>
        <w:pStyle w:val="NormalWeb"/>
        <w:shd w:val="clear" w:color="auto" w:fill="FFFFFF"/>
        <w:spacing w:before="0" w:beforeAutospacing="0" w:afterLines="20" w:after="48" w:afterAutospacing="0"/>
        <w:jc w:val="both"/>
        <w:rPr>
          <w:rFonts w:ascii="Calibri" w:hAnsi="Calibri" w:cs="Calibri"/>
          <w:color w:val="000000"/>
          <w:sz w:val="22"/>
          <w:szCs w:val="22"/>
        </w:rPr>
      </w:pPr>
    </w:p>
    <w:p w14:paraId="0049AA6A" w14:textId="4D1CD1D8"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r w:rsidRPr="00B95E4C">
        <w:rPr>
          <w:rFonts w:ascii="Calibri" w:hAnsi="Calibri" w:cs="Calibri"/>
          <w:b/>
          <w:bCs/>
          <w:color w:val="000000"/>
          <w:sz w:val="22"/>
          <w:szCs w:val="22"/>
          <w:u w:val="single"/>
        </w:rPr>
        <w:br/>
        <w:t>Objectifs pédagogiques :</w:t>
      </w:r>
    </w:p>
    <w:p w14:paraId="35B4C83C" w14:textId="59F0A729"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A la fin de la formation le pharmacien doit être capable de :</w:t>
      </w:r>
    </w:p>
    <w:p w14:paraId="5F40D2B7" w14:textId="726E4E4F"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appliquer les logigrammes figurant en annexe II de l'arrêté</w:t>
      </w:r>
      <w:r w:rsidR="007B539E">
        <w:rPr>
          <w:rFonts w:ascii="Calibri" w:hAnsi="Calibri" w:cs="Calibri"/>
          <w:color w:val="000000"/>
          <w:sz w:val="22"/>
          <w:szCs w:val="22"/>
        </w:rPr>
        <w:t xml:space="preserve"> du 17 juin 2024 précité</w:t>
      </w:r>
      <w:r w:rsidRPr="00B95E4C">
        <w:rPr>
          <w:rFonts w:ascii="Calibri" w:hAnsi="Calibri" w:cs="Calibri"/>
          <w:color w:val="000000"/>
          <w:sz w:val="22"/>
          <w:szCs w:val="22"/>
        </w:rPr>
        <w:t xml:space="preserve"> ;</w:t>
      </w:r>
    </w:p>
    <w:p w14:paraId="50F1D1DF" w14:textId="14C47D6F"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savoir contacter le prescripteur le cas échéant (dispositif de prescription d'une ordonnance </w:t>
      </w:r>
      <w:r w:rsidR="00ED17F3">
        <w:rPr>
          <w:rFonts w:ascii="Calibri" w:hAnsi="Calibri" w:cs="Calibri"/>
          <w:color w:val="000000"/>
          <w:sz w:val="22"/>
          <w:szCs w:val="22"/>
        </w:rPr>
        <w:t xml:space="preserve">                                  </w:t>
      </w:r>
      <w:r w:rsidRPr="00B95E4C">
        <w:rPr>
          <w:rFonts w:ascii="Calibri" w:hAnsi="Calibri" w:cs="Calibri"/>
          <w:color w:val="000000"/>
          <w:sz w:val="22"/>
          <w:szCs w:val="22"/>
        </w:rPr>
        <w:t>de dispensation conditionnelle) ;</w:t>
      </w:r>
    </w:p>
    <w:p w14:paraId="393940CA" w14:textId="4A6B992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savoir adresser le patient à un médecin le cas échéant (application du logigramme) ;</w:t>
      </w:r>
    </w:p>
    <w:p w14:paraId="73727AEE" w14:textId="69FF852D"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déterminer les exactes situations où la délivrance d'antibiotique selon le schéma des logigrammes </w:t>
      </w:r>
      <w:r w:rsidR="006554EF">
        <w:rPr>
          <w:rFonts w:ascii="Calibri" w:hAnsi="Calibri" w:cs="Calibri"/>
          <w:color w:val="000000"/>
          <w:sz w:val="22"/>
          <w:szCs w:val="22"/>
        </w:rPr>
        <w:t xml:space="preserve">                </w:t>
      </w:r>
      <w:r w:rsidRPr="00B95E4C">
        <w:rPr>
          <w:rFonts w:ascii="Calibri" w:hAnsi="Calibri" w:cs="Calibri"/>
          <w:color w:val="000000"/>
          <w:sz w:val="22"/>
          <w:szCs w:val="22"/>
        </w:rPr>
        <w:t xml:space="preserve"> n'est pas possible.</w:t>
      </w:r>
    </w:p>
    <w:p w14:paraId="0922C3A5" w14:textId="77777777" w:rsidR="004A37D4" w:rsidRPr="00B95E4C" w:rsidRDefault="004A37D4"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p>
    <w:p w14:paraId="3B62622F" w14:textId="05BB9A80"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r w:rsidRPr="00B95E4C">
        <w:rPr>
          <w:rFonts w:ascii="Calibri" w:hAnsi="Calibri" w:cs="Calibri"/>
          <w:b/>
          <w:bCs/>
          <w:color w:val="000000"/>
          <w:sz w:val="22"/>
          <w:szCs w:val="22"/>
          <w:u w:val="single"/>
        </w:rPr>
        <w:br/>
        <w:t>Programme et modalités d'apprentissage :</w:t>
      </w:r>
    </w:p>
    <w:p w14:paraId="09E301FD" w14:textId="249C3BBD"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rPr>
      </w:pPr>
      <w:r w:rsidRPr="00B95E4C">
        <w:rPr>
          <w:rFonts w:ascii="Calibri" w:hAnsi="Calibri" w:cs="Calibri"/>
          <w:color w:val="000000"/>
          <w:sz w:val="22"/>
          <w:szCs w:val="22"/>
        </w:rPr>
        <w:br/>
      </w:r>
      <w:r w:rsidRPr="00B95E4C">
        <w:rPr>
          <w:rFonts w:ascii="Calibri" w:hAnsi="Calibri" w:cs="Calibri"/>
          <w:b/>
          <w:bCs/>
          <w:color w:val="000000"/>
          <w:sz w:val="22"/>
          <w:szCs w:val="22"/>
        </w:rPr>
        <w:t xml:space="preserve">Séquence 1 : signes et symptômes de la cystite aiguë simple et prise en main du logigramme </w:t>
      </w:r>
      <w:r w:rsidR="006554EF">
        <w:rPr>
          <w:rFonts w:ascii="Calibri" w:hAnsi="Calibri" w:cs="Calibri"/>
          <w:b/>
          <w:bCs/>
          <w:color w:val="000000"/>
          <w:sz w:val="22"/>
          <w:szCs w:val="22"/>
        </w:rPr>
        <w:t xml:space="preserve">                           </w:t>
      </w:r>
      <w:r w:rsidR="0094796F" w:rsidRPr="00B95E4C">
        <w:rPr>
          <w:rFonts w:ascii="Calibri" w:hAnsi="Calibri" w:cs="Calibri"/>
          <w:b/>
          <w:bCs/>
          <w:color w:val="000000"/>
          <w:sz w:val="22"/>
          <w:szCs w:val="22"/>
        </w:rPr>
        <w:t>(</w:t>
      </w:r>
      <w:r w:rsidRPr="00B95E4C">
        <w:rPr>
          <w:rFonts w:ascii="Calibri" w:hAnsi="Calibri" w:cs="Calibri"/>
          <w:b/>
          <w:bCs/>
          <w:color w:val="000000"/>
          <w:sz w:val="22"/>
          <w:szCs w:val="22"/>
        </w:rPr>
        <w:t>2 heures</w:t>
      </w:r>
      <w:r w:rsidR="0094796F" w:rsidRPr="00B95E4C">
        <w:rPr>
          <w:rFonts w:ascii="Calibri" w:hAnsi="Calibri" w:cs="Calibri"/>
          <w:b/>
          <w:bCs/>
          <w:color w:val="000000"/>
          <w:sz w:val="22"/>
          <w:szCs w:val="22"/>
        </w:rPr>
        <w:t>)</w:t>
      </w:r>
    </w:p>
    <w:p w14:paraId="4425BC56"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identifier et repérer les signes et symptômes d'une cystite aiguë simple et connaître les diagnostics différentiels ;</w:t>
      </w:r>
    </w:p>
    <w:p w14:paraId="68B5E759" w14:textId="521E9451"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point d'attention sur les situations devant conduire à une réorientation vers un médecin ;</w:t>
      </w:r>
    </w:p>
    <w:p w14:paraId="357291DC" w14:textId="00307312"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présentation du logigramme de la prise en charge des symptômes de la cystite aiguë simple (pollakiurie et brûlures mictionnelles non fébriles), avec la formation sur l'ensemble des étapes, </w:t>
      </w:r>
      <w:r w:rsidR="006554EF">
        <w:rPr>
          <w:rFonts w:ascii="Calibri" w:hAnsi="Calibri" w:cs="Calibri"/>
          <w:color w:val="000000"/>
          <w:sz w:val="22"/>
          <w:szCs w:val="22"/>
        </w:rPr>
        <w:t xml:space="preserve">                      </w:t>
      </w:r>
      <w:r w:rsidRPr="00B95E4C">
        <w:rPr>
          <w:rFonts w:ascii="Calibri" w:hAnsi="Calibri" w:cs="Calibri"/>
          <w:color w:val="000000"/>
          <w:sz w:val="22"/>
          <w:szCs w:val="22"/>
        </w:rPr>
        <w:t xml:space="preserve">en insistant sur les facteurs d'exclusion et les situations nécessitant une réorientation médicale </w:t>
      </w:r>
      <w:r w:rsidR="006554EF">
        <w:rPr>
          <w:rFonts w:ascii="Calibri" w:hAnsi="Calibri" w:cs="Calibri"/>
          <w:color w:val="000000"/>
          <w:sz w:val="22"/>
          <w:szCs w:val="22"/>
        </w:rPr>
        <w:t xml:space="preserve">                      </w:t>
      </w:r>
      <w:r w:rsidRPr="00B95E4C">
        <w:rPr>
          <w:rFonts w:ascii="Calibri" w:hAnsi="Calibri" w:cs="Calibri"/>
          <w:color w:val="000000"/>
          <w:sz w:val="22"/>
          <w:szCs w:val="22"/>
        </w:rPr>
        <w:t>en urgence ;</w:t>
      </w:r>
    </w:p>
    <w:p w14:paraId="64CFEE65" w14:textId="075275A0"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identification des traitements pris par le patient (sur présentation d'ordonnance ou à l'interrogatoire) nécessitant une réorientation vers le médecin.</w:t>
      </w:r>
    </w:p>
    <w:p w14:paraId="17F98E55" w14:textId="6F7DFD3B"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rPr>
      </w:pPr>
      <w:r w:rsidRPr="00B95E4C">
        <w:rPr>
          <w:rFonts w:ascii="Calibri" w:hAnsi="Calibri" w:cs="Calibri"/>
          <w:color w:val="000000"/>
          <w:sz w:val="22"/>
          <w:szCs w:val="22"/>
        </w:rPr>
        <w:br/>
      </w:r>
      <w:r w:rsidRPr="00B95E4C">
        <w:rPr>
          <w:rFonts w:ascii="Calibri" w:hAnsi="Calibri" w:cs="Calibri"/>
          <w:b/>
          <w:bCs/>
          <w:color w:val="000000"/>
          <w:sz w:val="22"/>
          <w:szCs w:val="22"/>
        </w:rPr>
        <w:t xml:space="preserve">Séquence 2 : test urinaire d'orientation diagnostique de recherche a minima de nitriturie et de leucocyturie (possibilité de tutoriel vidéo) </w:t>
      </w:r>
      <w:r w:rsidR="0094796F" w:rsidRPr="00B95E4C">
        <w:rPr>
          <w:rFonts w:ascii="Calibri" w:hAnsi="Calibri" w:cs="Calibri"/>
          <w:b/>
          <w:bCs/>
          <w:color w:val="000000"/>
          <w:sz w:val="22"/>
          <w:szCs w:val="22"/>
        </w:rPr>
        <w:t>(</w:t>
      </w:r>
      <w:r w:rsidRPr="00B95E4C">
        <w:rPr>
          <w:rFonts w:ascii="Calibri" w:hAnsi="Calibri" w:cs="Calibri"/>
          <w:b/>
          <w:bCs/>
          <w:color w:val="000000"/>
          <w:sz w:val="22"/>
          <w:szCs w:val="22"/>
        </w:rPr>
        <w:t>1/2 heure</w:t>
      </w:r>
      <w:r w:rsidR="0094796F" w:rsidRPr="00B95E4C">
        <w:rPr>
          <w:rFonts w:ascii="Calibri" w:hAnsi="Calibri" w:cs="Calibri"/>
          <w:b/>
          <w:bCs/>
          <w:color w:val="000000"/>
          <w:sz w:val="22"/>
          <w:szCs w:val="22"/>
        </w:rPr>
        <w:t>)</w:t>
      </w:r>
    </w:p>
    <w:p w14:paraId="24E7A958" w14:textId="4DBB17A3"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xml:space="preserve">- conditions de recueil des urines (flacon stérile, élimination du 1er jet d'urine, délais d'acheminement à la pharmacie le cas échéant, etc.), d'utilisation du test urinaire d'orientation diagnostique </w:t>
      </w:r>
      <w:r w:rsidR="006554EF">
        <w:rPr>
          <w:rFonts w:ascii="Calibri" w:hAnsi="Calibri" w:cs="Calibri"/>
          <w:color w:val="000000"/>
          <w:sz w:val="22"/>
          <w:szCs w:val="22"/>
        </w:rPr>
        <w:t xml:space="preserve">                                  </w:t>
      </w:r>
      <w:r w:rsidRPr="00B95E4C">
        <w:rPr>
          <w:rFonts w:ascii="Calibri" w:hAnsi="Calibri" w:cs="Calibri"/>
          <w:color w:val="000000"/>
          <w:sz w:val="22"/>
          <w:szCs w:val="22"/>
        </w:rPr>
        <w:t xml:space="preserve">de recherche a minima de nitriturie et leucocyturie et de leur interprétation avec les critères </w:t>
      </w:r>
      <w:r w:rsidR="006554EF">
        <w:rPr>
          <w:rFonts w:ascii="Calibri" w:hAnsi="Calibri" w:cs="Calibri"/>
          <w:color w:val="000000"/>
          <w:sz w:val="22"/>
          <w:szCs w:val="22"/>
        </w:rPr>
        <w:t xml:space="preserve">                              </w:t>
      </w:r>
      <w:r w:rsidRPr="00B95E4C">
        <w:rPr>
          <w:rFonts w:ascii="Calibri" w:hAnsi="Calibri" w:cs="Calibri"/>
          <w:color w:val="000000"/>
          <w:sz w:val="22"/>
          <w:szCs w:val="22"/>
        </w:rPr>
        <w:t>de positivité ;</w:t>
      </w:r>
    </w:p>
    <w:p w14:paraId="5DF2AD47"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conditions à indiquer à la patiente pour le recueil des urines :</w:t>
      </w:r>
    </w:p>
    <w:p w14:paraId="1E903614" w14:textId="77777777" w:rsidR="004A37D4" w:rsidRPr="00B95E4C" w:rsidRDefault="00EE2A8C" w:rsidP="004A37D4">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br/>
        <w:t>- se laver les mains au savon avant le prélèvement ;</w:t>
      </w:r>
    </w:p>
    <w:p w14:paraId="7892B6BF" w14:textId="77777777" w:rsidR="004A37D4" w:rsidRPr="00B95E4C" w:rsidRDefault="00EE2A8C" w:rsidP="004A37D4">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t>- prévoir un récipient sec et propre, rincé à l'eau claire, ou un gobelet en plastique (éviter l'utilisation d'antiseptique qui pourrait fausser le résultat) ;</w:t>
      </w:r>
    </w:p>
    <w:p w14:paraId="62BF5F89" w14:textId="2F79B0ED" w:rsidR="004A37D4" w:rsidRPr="00B95E4C" w:rsidRDefault="00EE2A8C" w:rsidP="004A37D4">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t>- recueillir le deuxième jet d'urine.</w:t>
      </w:r>
    </w:p>
    <w:p w14:paraId="7F76AC8A" w14:textId="77777777" w:rsidR="004A37D4" w:rsidRDefault="004A37D4" w:rsidP="004A37D4">
      <w:pPr>
        <w:pStyle w:val="NormalWeb"/>
        <w:shd w:val="clear" w:color="auto" w:fill="FFFFFF"/>
        <w:spacing w:before="0" w:beforeAutospacing="0" w:afterLines="20" w:after="48" w:afterAutospacing="0"/>
        <w:jc w:val="both"/>
        <w:rPr>
          <w:rFonts w:ascii="Calibri" w:hAnsi="Calibri" w:cs="Calibri"/>
          <w:color w:val="000000"/>
          <w:sz w:val="22"/>
          <w:szCs w:val="22"/>
        </w:rPr>
      </w:pPr>
    </w:p>
    <w:p w14:paraId="35FAD8BC" w14:textId="77777777" w:rsidR="003A06B0" w:rsidRPr="00B95E4C" w:rsidRDefault="003A06B0" w:rsidP="004A37D4">
      <w:pPr>
        <w:pStyle w:val="NormalWeb"/>
        <w:shd w:val="clear" w:color="auto" w:fill="FFFFFF"/>
        <w:spacing w:before="0" w:beforeAutospacing="0" w:afterLines="20" w:after="48" w:afterAutospacing="0"/>
        <w:jc w:val="both"/>
        <w:rPr>
          <w:rFonts w:ascii="Calibri" w:hAnsi="Calibri" w:cs="Calibri"/>
          <w:color w:val="000000"/>
          <w:sz w:val="22"/>
          <w:szCs w:val="22"/>
        </w:rPr>
      </w:pPr>
    </w:p>
    <w:p w14:paraId="1795BBA8"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lastRenderedPageBreak/>
        <w:t>- conditions de réalisation du test :</w:t>
      </w:r>
    </w:p>
    <w:p w14:paraId="2F142645" w14:textId="55B1F549" w:rsidR="004A37D4" w:rsidRPr="00B95E4C" w:rsidRDefault="00EE2A8C" w:rsidP="004A37D4">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br/>
        <w:t>- effectuer le test le plus rapidement possible après le recueil des urines ;</w:t>
      </w:r>
      <w:r w:rsidRPr="00B95E4C">
        <w:rPr>
          <w:rFonts w:ascii="Calibri" w:hAnsi="Calibri" w:cs="Calibri"/>
          <w:color w:val="000000"/>
          <w:sz w:val="22"/>
          <w:szCs w:val="22"/>
        </w:rPr>
        <w:br/>
        <w:t>- respecter la noti</w:t>
      </w:r>
      <w:r w:rsidR="004A37D4" w:rsidRPr="00B95E4C">
        <w:rPr>
          <w:rFonts w:ascii="Calibri" w:hAnsi="Calibri" w:cs="Calibri"/>
          <w:color w:val="000000"/>
          <w:sz w:val="22"/>
          <w:szCs w:val="22"/>
        </w:rPr>
        <w:t>ce ;</w:t>
      </w:r>
    </w:p>
    <w:p w14:paraId="5C4DE7B3" w14:textId="10F885DC" w:rsidR="004A37D4" w:rsidRPr="00B95E4C" w:rsidRDefault="00EE2A8C" w:rsidP="004A37D4">
      <w:pPr>
        <w:pStyle w:val="NormalWeb"/>
        <w:shd w:val="clear" w:color="auto" w:fill="FFFFFF"/>
        <w:spacing w:before="0" w:beforeAutospacing="0" w:afterLines="20" w:after="48" w:afterAutospacing="0"/>
        <w:ind w:firstLine="708"/>
        <w:jc w:val="both"/>
        <w:rPr>
          <w:rFonts w:ascii="Calibri" w:hAnsi="Calibri" w:cs="Calibri"/>
          <w:color w:val="000000"/>
          <w:sz w:val="22"/>
          <w:szCs w:val="22"/>
        </w:rPr>
      </w:pPr>
      <w:r w:rsidRPr="00B95E4C">
        <w:rPr>
          <w:rFonts w:ascii="Calibri" w:hAnsi="Calibri" w:cs="Calibri"/>
          <w:color w:val="000000"/>
          <w:sz w:val="22"/>
          <w:szCs w:val="22"/>
        </w:rPr>
        <w:t>- information sur le contexte de la lutte contre l'antibiorésistance ;</w:t>
      </w:r>
    </w:p>
    <w:p w14:paraId="32F5F62D" w14:textId="77777777" w:rsidR="002C4188" w:rsidRPr="00B95E4C" w:rsidRDefault="00EE2A8C" w:rsidP="002C4188">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t>- modalités à respecter pour la pratique en officine : le cahier des charges figurant à l'article 4 du présent arrêté ;</w:t>
      </w:r>
    </w:p>
    <w:p w14:paraId="28D3D35A" w14:textId="20F1DD76" w:rsidR="004A37D4" w:rsidRPr="00B95E4C" w:rsidRDefault="00EE2A8C" w:rsidP="002C4188">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t>- présentation pratique de la réalisation du test urinaire d'orientation diagnostic de recherche a minima de nitriturie et de leucocyturie et interprétation ;</w:t>
      </w:r>
    </w:p>
    <w:p w14:paraId="5BD60D19" w14:textId="615FFDD5" w:rsidR="00EE2A8C" w:rsidRPr="00B95E4C" w:rsidRDefault="00EE2A8C" w:rsidP="004A37D4">
      <w:pPr>
        <w:pStyle w:val="NormalWeb"/>
        <w:shd w:val="clear" w:color="auto" w:fill="FFFFFF"/>
        <w:spacing w:before="0" w:beforeAutospacing="0" w:afterLines="20" w:after="48" w:afterAutospacing="0"/>
        <w:ind w:left="708"/>
        <w:jc w:val="both"/>
        <w:rPr>
          <w:rFonts w:ascii="Calibri" w:hAnsi="Calibri" w:cs="Calibri"/>
          <w:color w:val="000000"/>
          <w:sz w:val="22"/>
          <w:szCs w:val="22"/>
        </w:rPr>
      </w:pPr>
      <w:r w:rsidRPr="00B95E4C">
        <w:rPr>
          <w:rFonts w:ascii="Calibri" w:hAnsi="Calibri" w:cs="Calibri"/>
          <w:color w:val="000000"/>
          <w:sz w:val="22"/>
          <w:szCs w:val="22"/>
        </w:rPr>
        <w:t>- mise en pratique par les pharmaciens.</w:t>
      </w:r>
    </w:p>
    <w:p w14:paraId="3DC15717" w14:textId="1898AB21" w:rsidR="00EE2A8C" w:rsidRPr="00B95E4C"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rPr>
      </w:pPr>
      <w:r w:rsidRPr="00B95E4C">
        <w:rPr>
          <w:rFonts w:ascii="Calibri" w:hAnsi="Calibri" w:cs="Calibri"/>
          <w:b/>
          <w:bCs/>
          <w:color w:val="000000"/>
          <w:sz w:val="22"/>
          <w:szCs w:val="22"/>
        </w:rPr>
        <w:br/>
        <w:t xml:space="preserve">Séquence 3 : prescription </w:t>
      </w:r>
      <w:r w:rsidR="006554EF">
        <w:rPr>
          <w:rFonts w:ascii="Calibri" w:hAnsi="Calibri" w:cs="Calibri"/>
          <w:b/>
          <w:bCs/>
          <w:color w:val="000000"/>
          <w:sz w:val="22"/>
          <w:szCs w:val="22"/>
        </w:rPr>
        <w:t>(</w:t>
      </w:r>
      <w:r w:rsidRPr="00B95E4C">
        <w:rPr>
          <w:rFonts w:ascii="Calibri" w:hAnsi="Calibri" w:cs="Calibri"/>
          <w:b/>
          <w:bCs/>
          <w:color w:val="000000"/>
          <w:sz w:val="22"/>
          <w:szCs w:val="22"/>
        </w:rPr>
        <w:t>1,5 heures</w:t>
      </w:r>
      <w:r w:rsidR="006554EF">
        <w:rPr>
          <w:rFonts w:ascii="Calibri" w:hAnsi="Calibri" w:cs="Calibri"/>
          <w:b/>
          <w:bCs/>
          <w:color w:val="000000"/>
          <w:sz w:val="22"/>
          <w:szCs w:val="22"/>
        </w:rPr>
        <w:t>)</w:t>
      </w:r>
    </w:p>
    <w:p w14:paraId="201BE3C1" w14:textId="77777777"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présentation de la fiche mémo HAS en vigueur (réalisée en collaboration avec la SPILF) : cystite aiguë simple, à risque de complication ou récidivante, de la femme et des autres références bibliographiques pertinentes ;</w:t>
      </w:r>
    </w:p>
    <w:p w14:paraId="525259C4" w14:textId="6A1286EB"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présentation des molécules ; posologies, durée de traitement, voie d'administration, des allergies </w:t>
      </w:r>
      <w:r w:rsidR="006554EF">
        <w:rPr>
          <w:rFonts w:ascii="Calibri" w:hAnsi="Calibri" w:cs="Calibri"/>
          <w:color w:val="000000"/>
          <w:sz w:val="22"/>
          <w:szCs w:val="22"/>
        </w:rPr>
        <w:t xml:space="preserve">                      </w:t>
      </w:r>
      <w:r w:rsidRPr="00B95E4C">
        <w:rPr>
          <w:rFonts w:ascii="Calibri" w:hAnsi="Calibri" w:cs="Calibri"/>
          <w:color w:val="000000"/>
          <w:sz w:val="22"/>
          <w:szCs w:val="22"/>
        </w:rPr>
        <w:t>et contre-indications à rechercher, des effets indésirables et des précautions d'emploi (cf. Résumé des caractéristiques du produit (RCP)) ;</w:t>
      </w:r>
    </w:p>
    <w:p w14:paraId="13B0C83D" w14:textId="74F28F00"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présentation des informations importantes et des règles hygiéno-diététiques à communiquer </w:t>
      </w:r>
      <w:r w:rsidR="006554EF">
        <w:rPr>
          <w:rFonts w:ascii="Calibri" w:hAnsi="Calibri" w:cs="Calibri"/>
          <w:color w:val="000000"/>
          <w:sz w:val="22"/>
          <w:szCs w:val="22"/>
        </w:rPr>
        <w:t xml:space="preserve">                           </w:t>
      </w:r>
      <w:r w:rsidRPr="00B95E4C">
        <w:rPr>
          <w:rFonts w:ascii="Calibri" w:hAnsi="Calibri" w:cs="Calibri"/>
          <w:color w:val="000000"/>
          <w:sz w:val="22"/>
          <w:szCs w:val="22"/>
        </w:rPr>
        <w:t>à la patiente ;</w:t>
      </w:r>
    </w:p>
    <w:p w14:paraId="6430C254" w14:textId="79C9CBC9"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sensibilisation à la juste prescription des traitements médicamenteux et à la lutte contre l'antibiorésistance ;</w:t>
      </w:r>
    </w:p>
    <w:p w14:paraId="574FB686" w14:textId="65BA4A81" w:rsidR="00D51479"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xml:space="preserve">- traçabilité et partage des informations avec le médecin traitant. Conformément à l'article R. 5125-33-11 du </w:t>
      </w:r>
      <w:r w:rsidR="002C4188" w:rsidRPr="00B95E4C">
        <w:rPr>
          <w:rFonts w:ascii="Calibri" w:hAnsi="Calibri" w:cs="Calibri"/>
          <w:color w:val="000000"/>
          <w:sz w:val="22"/>
          <w:szCs w:val="22"/>
        </w:rPr>
        <w:t>code de la santé publique</w:t>
      </w:r>
      <w:r w:rsidRPr="00B95E4C">
        <w:rPr>
          <w:rFonts w:ascii="Calibri" w:hAnsi="Calibri" w:cs="Calibri"/>
          <w:color w:val="000000"/>
          <w:sz w:val="22"/>
          <w:szCs w:val="22"/>
        </w:rPr>
        <w:t xml:space="preserve">, le pharmacien inscrit dans le dossier médical partagé du patient ses nom et prénom d'exercice, la dénomination du médicament délivré, la date de réalisation du test urinaire d'orientation diagnostique, ainsi que son code d'identification unique dit « </w:t>
      </w:r>
      <w:r w:rsidRPr="00B95E4C">
        <w:rPr>
          <w:rFonts w:ascii="Calibri" w:hAnsi="Calibri" w:cs="Calibri"/>
          <w:i/>
          <w:iCs/>
          <w:color w:val="000000"/>
          <w:sz w:val="22"/>
          <w:szCs w:val="22"/>
        </w:rPr>
        <w:t>IUD</w:t>
      </w:r>
      <w:r w:rsidRPr="00B95E4C">
        <w:rPr>
          <w:rFonts w:ascii="Calibri" w:hAnsi="Calibri" w:cs="Calibri"/>
          <w:color w:val="000000"/>
          <w:sz w:val="22"/>
          <w:szCs w:val="22"/>
        </w:rPr>
        <w:t xml:space="preserve"> » dès lors </w:t>
      </w:r>
      <w:r w:rsidR="006554EF">
        <w:rPr>
          <w:rFonts w:ascii="Calibri" w:hAnsi="Calibri" w:cs="Calibri"/>
          <w:color w:val="000000"/>
          <w:sz w:val="22"/>
          <w:szCs w:val="22"/>
        </w:rPr>
        <w:t xml:space="preserve">                 </w:t>
      </w:r>
      <w:r w:rsidRPr="00B95E4C">
        <w:rPr>
          <w:rFonts w:ascii="Calibri" w:hAnsi="Calibri" w:cs="Calibri"/>
          <w:color w:val="000000"/>
          <w:sz w:val="22"/>
          <w:szCs w:val="22"/>
        </w:rPr>
        <w:t xml:space="preserve">que celui-ci est disponible, ou à défaut le nom du fabricant, la référence et le numéro de lot du test urinaire d'orientation diagnostique. A défaut de cette inscription, il délivre au patient une attestation qui comporte ces informations. En l'absence de dossier médical partagé et sous réserve </w:t>
      </w:r>
      <w:r w:rsidR="006554EF">
        <w:rPr>
          <w:rFonts w:ascii="Calibri" w:hAnsi="Calibri" w:cs="Calibri"/>
          <w:color w:val="000000"/>
          <w:sz w:val="22"/>
          <w:szCs w:val="22"/>
        </w:rPr>
        <w:t xml:space="preserve">                                          </w:t>
      </w:r>
      <w:r w:rsidRPr="00B95E4C">
        <w:rPr>
          <w:rFonts w:ascii="Calibri" w:hAnsi="Calibri" w:cs="Calibri"/>
          <w:color w:val="000000"/>
          <w:sz w:val="22"/>
          <w:szCs w:val="22"/>
        </w:rPr>
        <w:t xml:space="preserve">du consentement du patient, le pharmacien transmet ces informations à son médecin traitant. </w:t>
      </w:r>
      <w:r w:rsidR="006554EF">
        <w:rPr>
          <w:rFonts w:ascii="Calibri" w:hAnsi="Calibri" w:cs="Calibri"/>
          <w:color w:val="000000"/>
          <w:sz w:val="22"/>
          <w:szCs w:val="22"/>
        </w:rPr>
        <w:t xml:space="preserve">                           </w:t>
      </w:r>
      <w:r w:rsidRPr="00B95E4C">
        <w:rPr>
          <w:rFonts w:ascii="Calibri" w:hAnsi="Calibri" w:cs="Calibri"/>
          <w:color w:val="000000"/>
          <w:sz w:val="22"/>
          <w:szCs w:val="22"/>
        </w:rPr>
        <w:t>La transmission de cette information s'effectue par messagerie sécurisée de santé répondant aux conditions prévues à l'article L. 1470-5</w:t>
      </w:r>
      <w:r w:rsidR="006747FB" w:rsidRPr="00B95E4C">
        <w:rPr>
          <w:rFonts w:ascii="Calibri" w:hAnsi="Calibri" w:cs="Calibri"/>
          <w:color w:val="000000"/>
          <w:sz w:val="22"/>
          <w:szCs w:val="22"/>
        </w:rPr>
        <w:t xml:space="preserve"> du code de la santé publique</w:t>
      </w:r>
      <w:r w:rsidRPr="00B95E4C">
        <w:rPr>
          <w:rFonts w:ascii="Calibri" w:hAnsi="Calibri" w:cs="Calibri"/>
          <w:color w:val="000000"/>
          <w:sz w:val="22"/>
          <w:szCs w:val="22"/>
        </w:rPr>
        <w:t>, lorsqu'elle existe ;</w:t>
      </w:r>
    </w:p>
    <w:p w14:paraId="719294FA" w14:textId="64161810" w:rsidR="004A37D4" w:rsidRPr="00E6153F"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t>- présentation de 2 cas pratiques.</w:t>
      </w:r>
    </w:p>
    <w:p w14:paraId="6D8E387B" w14:textId="19CD3C64" w:rsidR="004A37D4" w:rsidRPr="007C47E9"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r w:rsidRPr="00B95E4C">
        <w:rPr>
          <w:rFonts w:ascii="Calibri" w:hAnsi="Calibri" w:cs="Calibri"/>
          <w:b/>
          <w:bCs/>
          <w:color w:val="000000"/>
          <w:sz w:val="22"/>
          <w:szCs w:val="22"/>
        </w:rPr>
        <w:br/>
      </w:r>
      <w:r w:rsidRPr="007C47E9">
        <w:rPr>
          <w:rFonts w:ascii="Calibri" w:hAnsi="Calibri" w:cs="Calibri"/>
          <w:b/>
          <w:bCs/>
          <w:color w:val="000000"/>
          <w:sz w:val="22"/>
          <w:szCs w:val="22"/>
          <w:u w:val="single"/>
        </w:rPr>
        <w:t>Profil des concepteurs et intervenants :</w:t>
      </w:r>
    </w:p>
    <w:p w14:paraId="5A2ED45E" w14:textId="23D758AD" w:rsidR="004A37D4" w:rsidRPr="00E6153F"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La formation devra obligatoirement associer un médecin ou une sage-femme en qualité de concepteur et de formateur.</w:t>
      </w:r>
    </w:p>
    <w:p w14:paraId="7C511726" w14:textId="4DF20ECE" w:rsidR="004A37D4" w:rsidRPr="007C47E9" w:rsidRDefault="00EE2A8C" w:rsidP="004A37D4">
      <w:pPr>
        <w:pStyle w:val="NormalWeb"/>
        <w:shd w:val="clear" w:color="auto" w:fill="FFFFFF"/>
        <w:spacing w:before="0" w:beforeAutospacing="0" w:afterLines="20" w:after="48" w:afterAutospacing="0"/>
        <w:jc w:val="both"/>
        <w:rPr>
          <w:rFonts w:ascii="Calibri" w:hAnsi="Calibri" w:cs="Calibri"/>
          <w:b/>
          <w:bCs/>
          <w:color w:val="000000"/>
          <w:sz w:val="22"/>
          <w:szCs w:val="22"/>
          <w:u w:val="single"/>
        </w:rPr>
      </w:pPr>
      <w:r w:rsidRPr="00B95E4C">
        <w:rPr>
          <w:rFonts w:ascii="Calibri" w:hAnsi="Calibri" w:cs="Calibri"/>
          <w:b/>
          <w:bCs/>
          <w:color w:val="000000"/>
          <w:sz w:val="22"/>
          <w:szCs w:val="22"/>
        </w:rPr>
        <w:br/>
      </w:r>
      <w:r w:rsidRPr="007C47E9">
        <w:rPr>
          <w:rFonts w:ascii="Calibri" w:hAnsi="Calibri" w:cs="Calibri"/>
          <w:b/>
          <w:bCs/>
          <w:color w:val="000000"/>
          <w:sz w:val="22"/>
          <w:szCs w:val="22"/>
          <w:u w:val="single"/>
        </w:rPr>
        <w:t>Modalités de validation de la formation :</w:t>
      </w:r>
    </w:p>
    <w:p w14:paraId="0424FB66" w14:textId="38EF57B3" w:rsidR="004A37D4" w:rsidRPr="00B95E4C" w:rsidRDefault="00EE2A8C" w:rsidP="004A37D4">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 xml:space="preserve">Quel que soit le nombre de séquences suivies, les pharmaciens compléteront un QCM de 10 items portant sur les compétences acquises au cours de la formation dont les critères d'exclusion, l'interprétation du test urinaire d'orientation diagnostique de recherche a minima de nitriturie </w:t>
      </w:r>
      <w:r w:rsidR="006554EF">
        <w:rPr>
          <w:rFonts w:ascii="Calibri" w:hAnsi="Calibri" w:cs="Calibri"/>
          <w:color w:val="000000"/>
          <w:sz w:val="22"/>
          <w:szCs w:val="22"/>
        </w:rPr>
        <w:t xml:space="preserve">                         </w:t>
      </w:r>
      <w:r w:rsidRPr="00B95E4C">
        <w:rPr>
          <w:rFonts w:ascii="Calibri" w:hAnsi="Calibri" w:cs="Calibri"/>
          <w:color w:val="000000"/>
          <w:sz w:val="22"/>
          <w:szCs w:val="22"/>
        </w:rPr>
        <w:t>et de leucocyturie et la prescription.</w:t>
      </w:r>
    </w:p>
    <w:p w14:paraId="7C10200B" w14:textId="34138FCF" w:rsidR="00532664" w:rsidRPr="00E6153F" w:rsidRDefault="00EE2A8C" w:rsidP="00E6153F">
      <w:pPr>
        <w:pStyle w:val="NormalWeb"/>
        <w:shd w:val="clear" w:color="auto" w:fill="FFFFFF"/>
        <w:spacing w:before="0" w:beforeAutospacing="0" w:afterLines="20" w:after="48" w:afterAutospacing="0"/>
        <w:jc w:val="both"/>
        <w:rPr>
          <w:rFonts w:ascii="Calibri" w:hAnsi="Calibri" w:cs="Calibri"/>
          <w:color w:val="000000"/>
          <w:sz w:val="22"/>
          <w:szCs w:val="22"/>
        </w:rPr>
      </w:pPr>
      <w:r w:rsidRPr="00B95E4C">
        <w:rPr>
          <w:rFonts w:ascii="Calibri" w:hAnsi="Calibri" w:cs="Calibri"/>
          <w:color w:val="000000"/>
          <w:sz w:val="22"/>
          <w:szCs w:val="22"/>
        </w:rPr>
        <w:br/>
        <w:t>Une attestation de formation est délivrée sous réserve de valider a minima 8 items sur 10.</w:t>
      </w:r>
    </w:p>
    <w:sectPr w:rsidR="00532664" w:rsidRPr="00E6153F" w:rsidSect="000C39E3">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E8690" w14:textId="77777777" w:rsidR="003E51FF" w:rsidRDefault="003E51FF" w:rsidP="00561774">
      <w:pPr>
        <w:spacing w:after="0" w:line="240" w:lineRule="auto"/>
      </w:pPr>
      <w:r>
        <w:separator/>
      </w:r>
    </w:p>
  </w:endnote>
  <w:endnote w:type="continuationSeparator" w:id="0">
    <w:p w14:paraId="173729A6" w14:textId="77777777" w:rsidR="003E51FF" w:rsidRDefault="003E51FF" w:rsidP="0056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983518"/>
      <w:docPartObj>
        <w:docPartGallery w:val="Page Numbers (Bottom of Page)"/>
        <w:docPartUnique/>
      </w:docPartObj>
    </w:sdtPr>
    <w:sdtContent>
      <w:p w14:paraId="09F8870B" w14:textId="54E3263F" w:rsidR="00DF3CF3" w:rsidRDefault="00DF3CF3">
        <w:pPr>
          <w:pStyle w:val="Pieddepage"/>
          <w:jc w:val="right"/>
        </w:pPr>
        <w:r>
          <w:fldChar w:fldCharType="begin"/>
        </w:r>
        <w:r>
          <w:instrText>PAGE   \* MERGEFORMAT</w:instrText>
        </w:r>
        <w:r>
          <w:fldChar w:fldCharType="separate"/>
        </w:r>
        <w:r>
          <w:t>2</w:t>
        </w:r>
        <w:r>
          <w:fldChar w:fldCharType="end"/>
        </w:r>
      </w:p>
    </w:sdtContent>
  </w:sdt>
  <w:p w14:paraId="36FD2834" w14:textId="77777777" w:rsidR="00DF3CF3" w:rsidRDefault="00DF3C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1E60" w14:textId="77777777" w:rsidR="003E51FF" w:rsidRDefault="003E51FF" w:rsidP="00561774">
      <w:pPr>
        <w:spacing w:after="0" w:line="240" w:lineRule="auto"/>
      </w:pPr>
      <w:r>
        <w:separator/>
      </w:r>
    </w:p>
  </w:footnote>
  <w:footnote w:type="continuationSeparator" w:id="0">
    <w:p w14:paraId="24FDD77E" w14:textId="77777777" w:rsidR="003E51FF" w:rsidRDefault="003E51FF" w:rsidP="00561774">
      <w:pPr>
        <w:spacing w:after="0" w:line="240" w:lineRule="auto"/>
      </w:pPr>
      <w:r>
        <w:continuationSeparator/>
      </w:r>
    </w:p>
  </w:footnote>
  <w:footnote w:id="1">
    <w:p w14:paraId="1B6CCA70" w14:textId="1CEAA10E" w:rsidR="009943B5" w:rsidRPr="008B0D4F" w:rsidRDefault="009943B5" w:rsidP="0096667D">
      <w:pPr>
        <w:pStyle w:val="Notedebasdepage"/>
        <w:jc w:val="both"/>
        <w:rPr>
          <w:rFonts w:ascii="Calibri" w:hAnsi="Calibri" w:cs="Calibri"/>
          <w:i/>
          <w:iCs/>
        </w:rPr>
      </w:pPr>
      <w:r w:rsidRPr="008B0D4F">
        <w:rPr>
          <w:rStyle w:val="Appelnotedebasdep"/>
          <w:rFonts w:ascii="Calibri" w:hAnsi="Calibri" w:cs="Calibri"/>
          <w:b/>
          <w:bCs/>
        </w:rPr>
        <w:footnoteRef/>
      </w:r>
      <w:r w:rsidRPr="008B0D4F">
        <w:rPr>
          <w:rFonts w:ascii="Calibri" w:hAnsi="Calibri" w:cs="Calibri"/>
        </w:rPr>
        <w:t xml:space="preserve"> </w:t>
      </w:r>
      <w:r w:rsidRPr="008B0D4F">
        <w:rPr>
          <w:rFonts w:ascii="Calibri" w:hAnsi="Calibri" w:cs="Calibri"/>
          <w:i/>
          <w:iCs/>
        </w:rPr>
        <w:t xml:space="preserve">Arrêté du 17 juin 2024 </w:t>
      </w:r>
      <w:r w:rsidR="00926CED">
        <w:rPr>
          <w:rFonts w:ascii="Calibri" w:hAnsi="Calibri" w:cs="Calibri"/>
          <w:i/>
          <w:iCs/>
        </w:rPr>
        <w:t>fixant les</w:t>
      </w:r>
      <w:r w:rsidR="00F34441" w:rsidRPr="008B0D4F">
        <w:rPr>
          <w:rFonts w:ascii="Calibri" w:hAnsi="Calibri" w:cs="Calibri"/>
          <w:i/>
          <w:iCs/>
        </w:rPr>
        <w:t xml:space="preserve"> modalités de délivrance de médicaments sans ordonnance après la réalisation d’un test rapide d’orientation diagnostique, les modalités</w:t>
      </w:r>
      <w:r w:rsidR="008268A2" w:rsidRPr="008B0D4F">
        <w:rPr>
          <w:rFonts w:ascii="Calibri" w:hAnsi="Calibri" w:cs="Calibri"/>
          <w:i/>
          <w:iCs/>
        </w:rPr>
        <w:t xml:space="preserve"> de formation spécifique des pharmaciens d’officine </w:t>
      </w:r>
      <w:r w:rsidR="0096667D">
        <w:rPr>
          <w:rFonts w:ascii="Calibri" w:hAnsi="Calibri" w:cs="Calibri"/>
          <w:i/>
          <w:iCs/>
        </w:rPr>
        <w:t xml:space="preserve">                 </w:t>
      </w:r>
      <w:r w:rsidR="008268A2" w:rsidRPr="008B0D4F">
        <w:rPr>
          <w:rFonts w:ascii="Calibri" w:hAnsi="Calibri" w:cs="Calibri"/>
          <w:i/>
          <w:iCs/>
        </w:rPr>
        <w:t>en la matière et précisant les conditions de recours à une ordonnance conditionnelle de dispensation conditionnelle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DFAE" w14:textId="77777777" w:rsidR="000C39E3" w:rsidRDefault="000C39E3" w:rsidP="000C39E3">
    <w:pPr>
      <w:spacing w:afterLines="20" w:after="48" w:line="240" w:lineRule="auto"/>
      <w:jc w:val="center"/>
      <w:rPr>
        <w:rFonts w:ascii="Calibri" w:eastAsiaTheme="majorEastAsia" w:hAnsi="Calibri" w:cs="Calibri"/>
        <w:b/>
        <w:bCs/>
        <w:sz w:val="24"/>
        <w:szCs w:val="24"/>
      </w:rPr>
    </w:pPr>
    <w:r>
      <w:rPr>
        <w:rFonts w:ascii="Calibri" w:eastAsiaTheme="majorEastAsia" w:hAnsi="Calibri" w:cs="Calibri"/>
        <w:b/>
        <w:bCs/>
        <w:sz w:val="24"/>
        <w:szCs w:val="24"/>
      </w:rPr>
      <w:t>ANNEXE N° 1</w:t>
    </w:r>
  </w:p>
  <w:p w14:paraId="65B6101F" w14:textId="77777777" w:rsidR="000C39E3" w:rsidRPr="00B95E4C" w:rsidRDefault="000C39E3" w:rsidP="000C39E3">
    <w:pPr>
      <w:spacing w:afterLines="20" w:after="48" w:line="240" w:lineRule="auto"/>
      <w:jc w:val="center"/>
      <w:rPr>
        <w:rFonts w:ascii="Calibri" w:eastAsiaTheme="majorEastAsia" w:hAnsi="Calibri" w:cs="Calibri"/>
        <w:b/>
        <w:bCs/>
        <w:sz w:val="24"/>
        <w:szCs w:val="24"/>
      </w:rPr>
    </w:pPr>
    <w:r w:rsidRPr="00B95E4C">
      <w:rPr>
        <w:rFonts w:ascii="Calibri" w:eastAsiaTheme="majorEastAsia" w:hAnsi="Calibri" w:cs="Calibri"/>
        <w:b/>
        <w:bCs/>
        <w:sz w:val="24"/>
        <w:szCs w:val="24"/>
      </w:rPr>
      <w:t xml:space="preserve">CAHIER DES CHARGES </w:t>
    </w:r>
  </w:p>
  <w:p w14:paraId="1495540D" w14:textId="77777777" w:rsidR="000C39E3" w:rsidRPr="00B95E4C" w:rsidRDefault="000C39E3" w:rsidP="000C39E3">
    <w:pPr>
      <w:spacing w:afterLines="20" w:after="48" w:line="240" w:lineRule="auto"/>
      <w:jc w:val="center"/>
      <w:rPr>
        <w:rFonts w:ascii="Calibri" w:eastAsiaTheme="majorEastAsia" w:hAnsi="Calibri" w:cs="Calibri"/>
        <w:b/>
        <w:bCs/>
        <w:sz w:val="24"/>
        <w:szCs w:val="24"/>
      </w:rPr>
    </w:pPr>
    <w:r w:rsidRPr="00B95E4C">
      <w:rPr>
        <w:rFonts w:ascii="Calibri" w:eastAsiaTheme="majorEastAsia" w:hAnsi="Calibri" w:cs="Calibri"/>
        <w:b/>
        <w:bCs/>
        <w:sz w:val="24"/>
        <w:szCs w:val="24"/>
      </w:rPr>
      <w:t>DE LA FORMATION A LA REALISATION DES TROD CYSTITE</w:t>
    </w:r>
  </w:p>
  <w:p w14:paraId="55266977" w14:textId="77777777" w:rsidR="005D54B4" w:rsidRPr="000C39E3" w:rsidRDefault="005D54B4" w:rsidP="000C39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265"/>
    <w:multiLevelType w:val="hybridMultilevel"/>
    <w:tmpl w:val="802C954C"/>
    <w:lvl w:ilvl="0" w:tplc="F496A06E">
      <w:start w:val="1"/>
      <w:numFmt w:val="bullet"/>
      <w:lvlText w:val=""/>
      <w:lvlJc w:val="left"/>
      <w:pPr>
        <w:tabs>
          <w:tab w:val="num" w:pos="720"/>
        </w:tabs>
        <w:ind w:left="720" w:hanging="360"/>
      </w:pPr>
      <w:rPr>
        <w:rFonts w:ascii="Wingdings" w:hAnsi="Wingdings" w:hint="default"/>
      </w:rPr>
    </w:lvl>
    <w:lvl w:ilvl="1" w:tplc="1D84B18C">
      <w:numFmt w:val="bullet"/>
      <w:lvlText w:val=""/>
      <w:lvlJc w:val="left"/>
      <w:pPr>
        <w:tabs>
          <w:tab w:val="num" w:pos="1440"/>
        </w:tabs>
        <w:ind w:left="1440" w:hanging="360"/>
      </w:pPr>
      <w:rPr>
        <w:rFonts w:ascii="Wingdings" w:hAnsi="Wingdings" w:hint="default"/>
      </w:rPr>
    </w:lvl>
    <w:lvl w:ilvl="2" w:tplc="CA3A8920" w:tentative="1">
      <w:start w:val="1"/>
      <w:numFmt w:val="bullet"/>
      <w:lvlText w:val=""/>
      <w:lvlJc w:val="left"/>
      <w:pPr>
        <w:tabs>
          <w:tab w:val="num" w:pos="2160"/>
        </w:tabs>
        <w:ind w:left="2160" w:hanging="360"/>
      </w:pPr>
      <w:rPr>
        <w:rFonts w:ascii="Wingdings" w:hAnsi="Wingdings" w:hint="default"/>
      </w:rPr>
    </w:lvl>
    <w:lvl w:ilvl="3" w:tplc="00DEAF16" w:tentative="1">
      <w:start w:val="1"/>
      <w:numFmt w:val="bullet"/>
      <w:lvlText w:val=""/>
      <w:lvlJc w:val="left"/>
      <w:pPr>
        <w:tabs>
          <w:tab w:val="num" w:pos="2880"/>
        </w:tabs>
        <w:ind w:left="2880" w:hanging="360"/>
      </w:pPr>
      <w:rPr>
        <w:rFonts w:ascii="Wingdings" w:hAnsi="Wingdings" w:hint="default"/>
      </w:rPr>
    </w:lvl>
    <w:lvl w:ilvl="4" w:tplc="67D23AB4" w:tentative="1">
      <w:start w:val="1"/>
      <w:numFmt w:val="bullet"/>
      <w:lvlText w:val=""/>
      <w:lvlJc w:val="left"/>
      <w:pPr>
        <w:tabs>
          <w:tab w:val="num" w:pos="3600"/>
        </w:tabs>
        <w:ind w:left="3600" w:hanging="360"/>
      </w:pPr>
      <w:rPr>
        <w:rFonts w:ascii="Wingdings" w:hAnsi="Wingdings" w:hint="default"/>
      </w:rPr>
    </w:lvl>
    <w:lvl w:ilvl="5" w:tplc="6F0C8AB2" w:tentative="1">
      <w:start w:val="1"/>
      <w:numFmt w:val="bullet"/>
      <w:lvlText w:val=""/>
      <w:lvlJc w:val="left"/>
      <w:pPr>
        <w:tabs>
          <w:tab w:val="num" w:pos="4320"/>
        </w:tabs>
        <w:ind w:left="4320" w:hanging="360"/>
      </w:pPr>
      <w:rPr>
        <w:rFonts w:ascii="Wingdings" w:hAnsi="Wingdings" w:hint="default"/>
      </w:rPr>
    </w:lvl>
    <w:lvl w:ilvl="6" w:tplc="78BAD98E" w:tentative="1">
      <w:start w:val="1"/>
      <w:numFmt w:val="bullet"/>
      <w:lvlText w:val=""/>
      <w:lvlJc w:val="left"/>
      <w:pPr>
        <w:tabs>
          <w:tab w:val="num" w:pos="5040"/>
        </w:tabs>
        <w:ind w:left="5040" w:hanging="360"/>
      </w:pPr>
      <w:rPr>
        <w:rFonts w:ascii="Wingdings" w:hAnsi="Wingdings" w:hint="default"/>
      </w:rPr>
    </w:lvl>
    <w:lvl w:ilvl="7" w:tplc="DCEE5982" w:tentative="1">
      <w:start w:val="1"/>
      <w:numFmt w:val="bullet"/>
      <w:lvlText w:val=""/>
      <w:lvlJc w:val="left"/>
      <w:pPr>
        <w:tabs>
          <w:tab w:val="num" w:pos="5760"/>
        </w:tabs>
        <w:ind w:left="5760" w:hanging="360"/>
      </w:pPr>
      <w:rPr>
        <w:rFonts w:ascii="Wingdings" w:hAnsi="Wingdings" w:hint="default"/>
      </w:rPr>
    </w:lvl>
    <w:lvl w:ilvl="8" w:tplc="460217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B0880"/>
    <w:multiLevelType w:val="hybridMultilevel"/>
    <w:tmpl w:val="B29A7032"/>
    <w:lvl w:ilvl="0" w:tplc="87EE35E4">
      <w:start w:val="13"/>
      <w:numFmt w:val="bullet"/>
      <w:lvlText w:val="-"/>
      <w:lvlJc w:val="left"/>
      <w:pPr>
        <w:ind w:left="720" w:hanging="360"/>
      </w:pPr>
      <w:rPr>
        <w:rFonts w:ascii="Aptos" w:eastAsia="Times New Roman"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0508188">
    <w:abstractNumId w:val="0"/>
  </w:num>
  <w:num w:numId="2" w16cid:durableId="9151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8F"/>
    <w:rsid w:val="000470ED"/>
    <w:rsid w:val="000C39E3"/>
    <w:rsid w:val="00116AE5"/>
    <w:rsid w:val="00162C4B"/>
    <w:rsid w:val="00192CE7"/>
    <w:rsid w:val="001D73AD"/>
    <w:rsid w:val="002C4188"/>
    <w:rsid w:val="0030745A"/>
    <w:rsid w:val="003770D3"/>
    <w:rsid w:val="003A06B0"/>
    <w:rsid w:val="003E19FB"/>
    <w:rsid w:val="003E51FF"/>
    <w:rsid w:val="00486513"/>
    <w:rsid w:val="004A37D4"/>
    <w:rsid w:val="0052251A"/>
    <w:rsid w:val="00532664"/>
    <w:rsid w:val="00541FB5"/>
    <w:rsid w:val="00561774"/>
    <w:rsid w:val="005D54B4"/>
    <w:rsid w:val="006554EF"/>
    <w:rsid w:val="006747FB"/>
    <w:rsid w:val="0074156F"/>
    <w:rsid w:val="007B539E"/>
    <w:rsid w:val="007C47E9"/>
    <w:rsid w:val="008268A2"/>
    <w:rsid w:val="008B0D4F"/>
    <w:rsid w:val="00926AA1"/>
    <w:rsid w:val="00926CED"/>
    <w:rsid w:val="0094796F"/>
    <w:rsid w:val="0096667D"/>
    <w:rsid w:val="009943B5"/>
    <w:rsid w:val="00A93B24"/>
    <w:rsid w:val="00AA4B8F"/>
    <w:rsid w:val="00B40362"/>
    <w:rsid w:val="00B95E4C"/>
    <w:rsid w:val="00C1287F"/>
    <w:rsid w:val="00C34327"/>
    <w:rsid w:val="00D51479"/>
    <w:rsid w:val="00D90525"/>
    <w:rsid w:val="00DA646C"/>
    <w:rsid w:val="00DF3CF3"/>
    <w:rsid w:val="00DF6D0D"/>
    <w:rsid w:val="00E23C0C"/>
    <w:rsid w:val="00E6153F"/>
    <w:rsid w:val="00EA0B43"/>
    <w:rsid w:val="00ED17F3"/>
    <w:rsid w:val="00EE2A8C"/>
    <w:rsid w:val="00F34441"/>
    <w:rsid w:val="00F35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3E84"/>
  <w15:chartTrackingRefBased/>
  <w15:docId w15:val="{947D02E9-47CC-4B8A-B63E-BD61C840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62"/>
  </w:style>
  <w:style w:type="paragraph" w:styleId="Titre1">
    <w:name w:val="heading 1"/>
    <w:basedOn w:val="Normal"/>
    <w:next w:val="Normal"/>
    <w:link w:val="Titre1Car"/>
    <w:uiPriority w:val="9"/>
    <w:qFormat/>
    <w:rsid w:val="00AA4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4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4B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4B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4B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4B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4B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4B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4B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B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4B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4B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4B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4B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4B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4B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4B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4B8F"/>
    <w:rPr>
      <w:rFonts w:eastAsiaTheme="majorEastAsia" w:cstheme="majorBidi"/>
      <w:color w:val="272727" w:themeColor="text1" w:themeTint="D8"/>
    </w:rPr>
  </w:style>
  <w:style w:type="paragraph" w:styleId="Titre">
    <w:name w:val="Title"/>
    <w:basedOn w:val="Normal"/>
    <w:next w:val="Normal"/>
    <w:link w:val="TitreCar"/>
    <w:uiPriority w:val="10"/>
    <w:qFormat/>
    <w:rsid w:val="00AA4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4B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4B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4B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4B8F"/>
    <w:pPr>
      <w:spacing w:before="160"/>
      <w:jc w:val="center"/>
    </w:pPr>
    <w:rPr>
      <w:i/>
      <w:iCs/>
      <w:color w:val="404040" w:themeColor="text1" w:themeTint="BF"/>
    </w:rPr>
  </w:style>
  <w:style w:type="character" w:customStyle="1" w:styleId="CitationCar">
    <w:name w:val="Citation Car"/>
    <w:basedOn w:val="Policepardfaut"/>
    <w:link w:val="Citation"/>
    <w:uiPriority w:val="29"/>
    <w:rsid w:val="00AA4B8F"/>
    <w:rPr>
      <w:i/>
      <w:iCs/>
      <w:color w:val="404040" w:themeColor="text1" w:themeTint="BF"/>
    </w:rPr>
  </w:style>
  <w:style w:type="paragraph" w:styleId="Paragraphedeliste">
    <w:name w:val="List Paragraph"/>
    <w:basedOn w:val="Normal"/>
    <w:uiPriority w:val="34"/>
    <w:qFormat/>
    <w:rsid w:val="00AA4B8F"/>
    <w:pPr>
      <w:ind w:left="720"/>
      <w:contextualSpacing/>
    </w:pPr>
  </w:style>
  <w:style w:type="character" w:styleId="Accentuationintense">
    <w:name w:val="Intense Emphasis"/>
    <w:basedOn w:val="Policepardfaut"/>
    <w:uiPriority w:val="21"/>
    <w:qFormat/>
    <w:rsid w:val="00AA4B8F"/>
    <w:rPr>
      <w:i/>
      <w:iCs/>
      <w:color w:val="0F4761" w:themeColor="accent1" w:themeShade="BF"/>
    </w:rPr>
  </w:style>
  <w:style w:type="paragraph" w:styleId="Citationintense">
    <w:name w:val="Intense Quote"/>
    <w:basedOn w:val="Normal"/>
    <w:next w:val="Normal"/>
    <w:link w:val="CitationintenseCar"/>
    <w:uiPriority w:val="30"/>
    <w:qFormat/>
    <w:rsid w:val="00AA4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4B8F"/>
    <w:rPr>
      <w:i/>
      <w:iCs/>
      <w:color w:val="0F4761" w:themeColor="accent1" w:themeShade="BF"/>
    </w:rPr>
  </w:style>
  <w:style w:type="character" w:styleId="Rfrenceintense">
    <w:name w:val="Intense Reference"/>
    <w:basedOn w:val="Policepardfaut"/>
    <w:uiPriority w:val="32"/>
    <w:qFormat/>
    <w:rsid w:val="00AA4B8F"/>
    <w:rPr>
      <w:b/>
      <w:bCs/>
      <w:smallCaps/>
      <w:color w:val="0F4761" w:themeColor="accent1" w:themeShade="BF"/>
      <w:spacing w:val="5"/>
    </w:rPr>
  </w:style>
  <w:style w:type="paragraph" w:styleId="NormalWeb">
    <w:name w:val="Normal (Web)"/>
    <w:basedOn w:val="Normal"/>
    <w:uiPriority w:val="99"/>
    <w:unhideWhenUsed/>
    <w:rsid w:val="00EE2A8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561774"/>
    <w:pPr>
      <w:tabs>
        <w:tab w:val="center" w:pos="4536"/>
        <w:tab w:val="right" w:pos="9072"/>
      </w:tabs>
      <w:spacing w:after="0" w:line="240" w:lineRule="auto"/>
    </w:pPr>
  </w:style>
  <w:style w:type="character" w:customStyle="1" w:styleId="En-tteCar">
    <w:name w:val="En-tête Car"/>
    <w:basedOn w:val="Policepardfaut"/>
    <w:link w:val="En-tte"/>
    <w:uiPriority w:val="99"/>
    <w:rsid w:val="00561774"/>
  </w:style>
  <w:style w:type="paragraph" w:styleId="Pieddepage">
    <w:name w:val="footer"/>
    <w:basedOn w:val="Normal"/>
    <w:link w:val="PieddepageCar"/>
    <w:uiPriority w:val="99"/>
    <w:unhideWhenUsed/>
    <w:rsid w:val="00561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1774"/>
  </w:style>
  <w:style w:type="paragraph" w:styleId="Notedebasdepage">
    <w:name w:val="footnote text"/>
    <w:basedOn w:val="Normal"/>
    <w:link w:val="NotedebasdepageCar"/>
    <w:uiPriority w:val="99"/>
    <w:semiHidden/>
    <w:unhideWhenUsed/>
    <w:rsid w:val="009943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43B5"/>
    <w:rPr>
      <w:sz w:val="20"/>
      <w:szCs w:val="20"/>
    </w:rPr>
  </w:style>
  <w:style w:type="character" w:styleId="Appelnotedebasdep">
    <w:name w:val="footnote reference"/>
    <w:basedOn w:val="Policepardfaut"/>
    <w:uiPriority w:val="99"/>
    <w:semiHidden/>
    <w:unhideWhenUsed/>
    <w:rsid w:val="00994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C695-F314-4123-9040-3AE6C3ED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1148</Words>
  <Characters>6317</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AMINE-MOTILVA</dc:creator>
  <cp:keywords/>
  <dc:description/>
  <cp:lastModifiedBy>Jean-Baptiste AMINE-MOTILVA</cp:lastModifiedBy>
  <cp:revision>36</cp:revision>
  <cp:lastPrinted>2024-07-01T07:50:00Z</cp:lastPrinted>
  <dcterms:created xsi:type="dcterms:W3CDTF">2024-06-26T14:30:00Z</dcterms:created>
  <dcterms:modified xsi:type="dcterms:W3CDTF">2024-07-02T07:35:00Z</dcterms:modified>
</cp:coreProperties>
</file>